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FD" w:rsidRDefault="006777F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Форма 5. Программа развития деятельности студенческих объединений</w:t>
      </w:r>
    </w:p>
    <w:p w:rsidR="006777FD" w:rsidRDefault="006777FD">
      <w:pPr>
        <w:pStyle w:val="a3"/>
        <w:ind w:left="3402"/>
        <w:jc w:val="center"/>
      </w:pPr>
      <w:r>
        <w:t> </w:t>
      </w:r>
    </w:p>
    <w:p w:rsidR="006777FD" w:rsidRDefault="006777FD">
      <w:pPr>
        <w:pStyle w:val="a3"/>
        <w:ind w:left="6521"/>
        <w:jc w:val="right"/>
      </w:pPr>
      <w:r>
        <w:t>УТВЕРЖДАЮ</w:t>
      </w:r>
    </w:p>
    <w:p w:rsidR="006777FD" w:rsidRDefault="006777FD">
      <w:pPr>
        <w:pStyle w:val="a3"/>
        <w:ind w:left="6521"/>
        <w:jc w:val="right"/>
      </w:pPr>
      <w:r>
        <w:t>Ректор ___________ /</w:t>
      </w:r>
      <w:r>
        <w:rPr>
          <w:rStyle w:val="rektor1"/>
        </w:rPr>
        <w:t xml:space="preserve"> Г.С. Дьяконов </w:t>
      </w:r>
      <w:r>
        <w:t>/</w:t>
      </w:r>
    </w:p>
    <w:p w:rsidR="006777FD" w:rsidRDefault="006777FD">
      <w:pPr>
        <w:pStyle w:val="a3"/>
        <w:ind w:left="6521"/>
        <w:jc w:val="right"/>
      </w:pPr>
      <w:r>
        <w:t>Дата, печать организации</w:t>
      </w:r>
    </w:p>
    <w:p w:rsidR="006777FD" w:rsidRDefault="006777FD">
      <w:pPr>
        <w:pStyle w:val="a3"/>
        <w:jc w:val="right"/>
      </w:pPr>
      <w:r>
        <w:t> </w:t>
      </w:r>
    </w:p>
    <w:p w:rsidR="006777FD" w:rsidRDefault="006777FD">
      <w:pPr>
        <w:pStyle w:val="a3"/>
        <w:jc w:val="center"/>
      </w:pPr>
      <w:r>
        <w:t> </w:t>
      </w:r>
    </w:p>
    <w:p w:rsidR="006777FD" w:rsidRDefault="006777FD">
      <w:pPr>
        <w:pStyle w:val="a3"/>
        <w:jc w:val="center"/>
      </w:pPr>
      <w:r>
        <w:rPr>
          <w:rStyle w:val="a4"/>
        </w:rPr>
        <w:t>Программа развития деятельности студенческих объединений</w:t>
      </w:r>
    </w:p>
    <w:p w:rsidR="006777FD" w:rsidRDefault="006777FD">
      <w:pPr>
        <w:pStyle w:val="a3"/>
        <w:jc w:val="center"/>
      </w:pPr>
      <w:r>
        <w:t> </w:t>
      </w:r>
    </w:p>
    <w:p w:rsidR="006777FD" w:rsidRDefault="006777FD">
      <w:pPr>
        <w:pStyle w:val="a3"/>
        <w:jc w:val="center"/>
      </w:pPr>
      <w:r>
        <w:t>Наименование программы: "Программа развития деятельности студенческих объединений Казанского национального исследовательского технологического университета"</w:t>
      </w:r>
    </w:p>
    <w:p w:rsidR="006777FD" w:rsidRDefault="006777FD">
      <w:pPr>
        <w:pStyle w:val="a3"/>
        <w:jc w:val="center"/>
      </w:pPr>
      <w:r>
        <w:t> </w:t>
      </w:r>
    </w:p>
    <w:p w:rsidR="006777FD" w:rsidRDefault="006777FD">
      <w:pPr>
        <w:pStyle w:val="a3"/>
        <w:jc w:val="center"/>
      </w:pPr>
      <w:r>
        <w:t> </w:t>
      </w:r>
    </w:p>
    <w:p w:rsidR="006777FD" w:rsidRDefault="006777FD">
      <w:pPr>
        <w:pStyle w:val="a3"/>
        <w:ind w:left="3402"/>
        <w:jc w:val="center"/>
      </w:pPr>
      <w:r>
        <w:t> </w:t>
      </w:r>
    </w:p>
    <w:p w:rsidR="006777FD" w:rsidRDefault="006777FD">
      <w:pPr>
        <w:pStyle w:val="a3"/>
        <w:ind w:left="6384"/>
        <w:jc w:val="right"/>
      </w:pPr>
      <w:r>
        <w:t>  СОГЛАСОВАНО</w:t>
      </w:r>
    </w:p>
    <w:p w:rsidR="006777FD" w:rsidRDefault="006777FD">
      <w:pPr>
        <w:pStyle w:val="a3"/>
        <w:ind w:left="5103"/>
        <w:jc w:val="right"/>
      </w:pPr>
      <w:r>
        <w:t>Руководитель Совета ___________ /</w:t>
      </w:r>
      <w:r>
        <w:rPr>
          <w:rStyle w:val="rektor1"/>
        </w:rPr>
        <w:t xml:space="preserve"> Л.Р. </w:t>
      </w:r>
      <w:proofErr w:type="spellStart"/>
      <w:r>
        <w:rPr>
          <w:rStyle w:val="rektor1"/>
        </w:rPr>
        <w:t>Диярова</w:t>
      </w:r>
      <w:proofErr w:type="spellEnd"/>
      <w:r>
        <w:rPr>
          <w:rStyle w:val="rektor1"/>
        </w:rPr>
        <w:t xml:space="preserve"> </w:t>
      </w:r>
      <w:r>
        <w:t>/</w:t>
      </w:r>
    </w:p>
    <w:p w:rsidR="006777FD" w:rsidRDefault="006777FD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1. Принципы и схема взаимодействия студенческих объединений, входящих в состав совета</w:t>
      </w:r>
    </w:p>
    <w:p w:rsidR="006777FD" w:rsidRDefault="006777FD">
      <w:pPr>
        <w:pStyle w:val="a3"/>
      </w:pPr>
      <w:r>
        <w:t>1.1. Схема взаимодействия</w:t>
      </w:r>
    </w:p>
    <w:p w:rsidR="006777FD" w:rsidRDefault="006777F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696075" cy="4095750"/>
            <wp:effectExtent l="19050" t="0" r="9525" b="0"/>
            <wp:docPr id="1" name="Рисунок 1" descr="http://rosstudtsentr.ru/assets/users/257/9e09dd11036276e0346c60c0495a0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tudtsentr.ru/assets/users/257/9e09dd11036276e0346c60c0495a0c04.jp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FD" w:rsidRDefault="006777FD">
      <w:pPr>
        <w:pStyle w:val="a3"/>
      </w:pPr>
      <w:r>
        <w:t>1.2. Принципы взаимодействия студенческих объединений, входящих в состав совета</w:t>
      </w:r>
    </w:p>
    <w:p w:rsidR="006777FD" w:rsidRDefault="006777FD">
      <w:pPr>
        <w:pStyle w:val="a3"/>
      </w:pPr>
      <w:r>
        <w:t xml:space="preserve">Принципы взаимодействия студенческих объединений, входящих в состав совета 1. Принцип системности. Системный подход рассматривает деятельность студенческого объединения как целенаправленный, систематичный и регулируемый процесс функционирования и взаимодействия структурных подразделений студенческого совета для достижения уставных целей. Системный подход к развитию личности подразумевает, что студенческое объединение ориентировано на гармоничное развитие личности и формирование у студентов управленческих навыков. 2. Принцип добровольности. Студенты добровольно определяют степень своего участия в тех или иных студенческих формированиях. 3. Принцип выборности. Руководящие органы Студенческих объединений формируются на выборной основе. 4. Принцип единства и целостности. Студенческие объединения, функционирующие в вузе, являются субъектами Студенческого Самоуправления и осуществляют свою деятельность в правовом поле Студенческого Самоуправления в соответствии с положением или другим нормативным документом. 5 Принцип корпоративности и преемственности. Студенческое объединение является частью корпоративной культуры вуза и не может существовать вне вуза. Студенческое объединение неразрывно связано с историей, ценностями, традициями вуза. 6. Принцип государственности. Студенческое объединение осуществляет свою деятельность в соответствии с государственной, региональной и городской молодежной политикой. 7. Принцип развития. По мере накопления опыта и традиций Студенческое объединение может в установленном порядке приобрести права и принять на себя обязанности юридического лица. 8. Принцип представительства. Студенты, избранные в руководящие органы Студенческого объединения, выполняют свои функции, действуя от имени, по поручению и в интересах студентов вуза. </w:t>
      </w:r>
    </w:p>
    <w:p w:rsidR="006777FD" w:rsidRDefault="006777FD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2. Потенциал образовательной организации</w:t>
      </w:r>
    </w:p>
    <w:p w:rsidR="006777FD" w:rsidRDefault="006777FD">
      <w:pPr>
        <w:pStyle w:val="a3"/>
      </w:pPr>
      <w:r>
        <w:t>2.1. Информация о мероприятиях, реализованных студенческими объединениями образовательной организации в 2014 - 2015 гг.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15"/>
        <w:gridCol w:w="2488"/>
        <w:gridCol w:w="1621"/>
        <w:gridCol w:w="1435"/>
        <w:gridCol w:w="1750"/>
      </w:tblGrid>
      <w:tr w:rsidR="006777FD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описание мероприятия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затрат на проведение мероприятия,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Период реализации, </w:t>
            </w:r>
            <w:proofErr w:type="spellStart"/>
            <w:r>
              <w:rPr>
                <w:b/>
                <w:bCs/>
              </w:rPr>
              <w:t>дд.мм.гггг</w:t>
            </w:r>
            <w:proofErr w:type="spellEnd"/>
            <w:r>
              <w:rPr>
                <w:b/>
                <w:bCs/>
              </w:rPr>
              <w:t xml:space="preserve">. – </w:t>
            </w:r>
            <w:proofErr w:type="spellStart"/>
            <w:r>
              <w:rPr>
                <w:b/>
                <w:bCs/>
              </w:rPr>
              <w:t>дд.мм.гггг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 из числа обучающихся, чел.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Наука и инновации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Путь к успеху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Краткое описание мероприятия: Мероприятие «Путь к успеху» является одним из мероприятий КНИТУ, подводящих итог работы за год. Это встреча - презентация нашего ВУЗа перед лучшими школьниками Казани, победителями химических олимпиад, директорами школ – партнеров, а так же лучшими преподавателями технических специальностей. Данный концерт освещает основные достижения и результаты работы за год, награждаются лучшие школы – партнеры, лучшие преподаватели вуза, а так же победители школьных олимпиад в химической области, что позволяет этим школьникам поступить в наш вуз без конкурса. В рамках мероприятия также проводится «Виват, химия» - клубное танцевальное событие вуза. В один из Казанских клубов, в дневное время приглашаются учащиеся старших классов Казанских школ, где для них в неформальной обстановке рассказывают о студенческой жизни и основных достижениях КНИТУ, презентуется деятельность творческих объединений вуза, а также рассказывается о результатах деятельности студенческих организаций КНИТУ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1700000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02.10.2015 - 15.10.2015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1200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Культура и творчество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Республиканский фестиваль альтернативного творчества "Формула жизни"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 xml:space="preserve">Студенческий фестиваль творчества «Формула жизни» создавался с целью создания условий для реализации творческого потенциала у студентов Республики Татарстан, занимающихся </w:t>
            </w:r>
            <w:proofErr w:type="spellStart"/>
            <w:r>
              <w:t>рэпом</w:t>
            </w:r>
            <w:proofErr w:type="spellEnd"/>
            <w:r>
              <w:t xml:space="preserve">, </w:t>
            </w:r>
            <w:proofErr w:type="spellStart"/>
            <w:r>
              <w:t>бит-боксом</w:t>
            </w:r>
            <w:proofErr w:type="spellEnd"/>
            <w:r>
              <w:t xml:space="preserve">, </w:t>
            </w:r>
            <w:proofErr w:type="spellStart"/>
            <w:r>
              <w:t>хип-хопом</w:t>
            </w:r>
            <w:proofErr w:type="spellEnd"/>
            <w:r>
              <w:t>, брейк–</w:t>
            </w:r>
            <w:proofErr w:type="spellStart"/>
            <w:r>
              <w:t>дансом</w:t>
            </w:r>
            <w:proofErr w:type="spellEnd"/>
            <w:r>
              <w:t xml:space="preserve">, рисованием </w:t>
            </w:r>
            <w:proofErr w:type="spellStart"/>
            <w:r>
              <w:t>граффти</w:t>
            </w:r>
            <w:proofErr w:type="spellEnd"/>
            <w:r>
              <w:t xml:space="preserve">, фотоискусством, так как эти направления зачастую не входят в формат таких мероприятий, как «Студенческая весна» и «День Первокурсника». А так же для выявления талантливой студенческой молодежи в области современного искусства, которые в дальнейшем участвуют в российских и международных фестивалях такого рода. 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943000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01.11.2015 - 29.11.2015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650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Фестиваль"Осенний дебют"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Фестиваль включает в себя Городской студенческий фестиваль авторской песни «Студент и гитара», который проводится по нескольким номинациям: авторская песня (сольное исполнение), поэзия и песни бардов, ансамбли, дуэты, трио, квартеты и т.д. Целью является развитие и популяризация жанра авторской песни, укрепление творческих контактов, эстетического и духовного воспитания молодёжи. И Фестиваль КВН Химиков — популярные юмористические игры, в которых различных команды КНИТУ соревнуются в юмористических ответах на заданные вопросы, импровизациях на заданные темы и разыгрывании заранее заготовленных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540000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01.10.2015 - 10.12.2015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850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Ежегодная студенческая премия «Отличник года»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Ежегодная студенческая премия «Отличник года» направлена на выявление лидеров среди студентов КНИТУ, на поддержку их действий лидеров по развитию студенческого самоуправления и повышение творческой и социальной активности студентов.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1500000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02.11.2015 - 05.12.2015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800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Студенческий спорт и здоровый образ жизни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Спартакиада ДАС КНИТУ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 xml:space="preserve">в спартакиаде участвуют иногородние и иностранные студенты, проживающие в студенческих общежитиях. Доля проживания иностранных студентов в некоторых студенческих общежитиях составляет более 50 %. Проводятся игры по 12-15 видам: мини-футболу, боулингу, плаванию, волейболу, </w:t>
            </w:r>
            <w:proofErr w:type="spellStart"/>
            <w:r>
              <w:t>стритболу</w:t>
            </w:r>
            <w:proofErr w:type="spellEnd"/>
            <w:r>
              <w:t xml:space="preserve">, настольному теннису, шахматам, шашкам, интеллектуальной викторине на тему «Спорт», сдача студентов норм ГТО и другим.. В рамках Спартакиады также проходят конкурсы на лучшую группу поддержки сред болельщиков. 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180000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15.11.2015 - 06.12.2015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1000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"фестиваль по черлидингу"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Организация и проведение чемпионата по черлидингу (групп поддержки спортивных команд) в направлениях "Чир", "</w:t>
            </w:r>
            <w:proofErr w:type="spellStart"/>
            <w:r>
              <w:t>чир-данс</w:t>
            </w:r>
            <w:proofErr w:type="spellEnd"/>
            <w:r>
              <w:t xml:space="preserve">", "Чир данс шоу" на уровне России. 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700000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01.10.2015 - 01.12.2015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730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Межкультурный диалог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Фестиваль дружбы народов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Фестиваль направлен на формирование гражданской позиции студентов, предусматривающей уважительное отношение к культуре малых этносов России, к формированию лояльной позиции по отношению к другим национальностям.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554000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16.11.2015 - 16.11.2015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750</w:t>
            </w:r>
          </w:p>
        </w:tc>
      </w:tr>
    </w:tbl>
    <w:p w:rsidR="006777FD" w:rsidRDefault="006777FD">
      <w:pPr>
        <w:pStyle w:val="a3"/>
        <w:spacing w:after="240" w:afterAutospacing="0"/>
      </w:pPr>
    </w:p>
    <w:p w:rsidR="006777FD" w:rsidRDefault="006777FD">
      <w:pPr>
        <w:pStyle w:val="a3"/>
      </w:pPr>
      <w:r>
        <w:t> </w:t>
      </w:r>
    </w:p>
    <w:p w:rsidR="006777FD" w:rsidRDefault="006777FD">
      <w:pPr>
        <w:pStyle w:val="a3"/>
      </w:pPr>
      <w:r>
        <w:t xml:space="preserve">2.2. Сведения об обучающихся, добившихся значительных результатов по направлениям Программы и принявших участие в официальных федеральных и окружных мероприятиях </w:t>
      </w:r>
      <w:proofErr w:type="spellStart"/>
      <w:r>
        <w:t>Минобрнауки</w:t>
      </w:r>
      <w:proofErr w:type="spellEnd"/>
      <w:r>
        <w:t xml:space="preserve"> России и Федерального Агентства по делам молодежи в 2014 - 2015 годах: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6"/>
        <w:gridCol w:w="2067"/>
        <w:gridCol w:w="4686"/>
      </w:tblGrid>
      <w:tr w:rsidR="006777FD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федерального форума и проекта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обучающихся чел. (2014-2015 г.)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Всероссийский студенческий форум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rPr>
                <w:rFonts w:eastAsia="Times New Roman"/>
              </w:rPr>
            </w:pP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Путь к успеху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1200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Традиционное мероприятие Казанского национального исследовательского технологического университета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Республиканский фестиваль альтернативного творчества "Формула жизни"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Молодежный проект альтернативного творчества</w:t>
            </w:r>
          </w:p>
        </w:tc>
      </w:tr>
      <w:tr w:rsidR="006777F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"фестиваль по черлидингу"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730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proofErr w:type="spellStart"/>
            <w:r>
              <w:t>Черлидинг</w:t>
            </w:r>
            <w:proofErr w:type="spellEnd"/>
            <w:r>
              <w:t xml:space="preserve"> — это международный современный вид спорта, который сочетает в себе элементы шоу и зрелищных видов спорта таких как: спортивные танцы, гимнастика и акробатика.</w:t>
            </w:r>
          </w:p>
        </w:tc>
      </w:tr>
    </w:tbl>
    <w:p w:rsidR="006777FD" w:rsidRDefault="006777FD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3. Цели Программы, ожидаемые эффекты от ее реализации, целевые показатели и мероприятия Программы</w:t>
      </w:r>
    </w:p>
    <w:p w:rsidR="006777FD" w:rsidRDefault="006777FD">
      <w:pPr>
        <w:pStyle w:val="a3"/>
      </w:pPr>
      <w:r>
        <w:t>3.1. Цели Программы</w:t>
      </w:r>
    </w:p>
    <w:p w:rsidR="006777FD" w:rsidRDefault="006777FD">
      <w:pPr>
        <w:pStyle w:val="a3"/>
      </w:pPr>
      <w:r>
        <w:t xml:space="preserve">Цель программы состоит в повышении результативности существующей системы студенческого самоуправления, усилении ориентации </w:t>
      </w:r>
      <w:proofErr w:type="spellStart"/>
      <w:r>
        <w:t>внеучебной</w:t>
      </w:r>
      <w:proofErr w:type="spellEnd"/>
      <w:r>
        <w:t xml:space="preserve"> работы в вузе на развитие лидерского, творческого и инновационного потенциала студентов, совершенствование процессов адаптации студентов в социальной и </w:t>
      </w:r>
      <w:proofErr w:type="spellStart"/>
      <w:r>
        <w:t>профессинальной</w:t>
      </w:r>
      <w:proofErr w:type="spellEnd"/>
      <w:r>
        <w:t xml:space="preserve"> среде, развитие студенческого спорта и пропаганду здорового образа жизни, воспитание патриотизма</w:t>
      </w:r>
    </w:p>
    <w:p w:rsidR="006777FD" w:rsidRDefault="006777FD">
      <w:pPr>
        <w:pStyle w:val="a3"/>
      </w:pPr>
      <w:r>
        <w:t>3.2. Ожидаемые эффекты от реализации Программы</w:t>
      </w:r>
    </w:p>
    <w:p w:rsidR="006777FD" w:rsidRDefault="006777FD">
      <w:pPr>
        <w:pStyle w:val="a3"/>
      </w:pPr>
      <w:r>
        <w:t xml:space="preserve">Ожидаемые эффекты от реализации Программы: - Повышение качества вовлеченности представителей студенческого сообщества в процессы развития научной и инновационной деятельности образовательного учреждения; - Увеличение количества студентов и магистрантов, добившихся значительных результатов в науке по перспективным направлениям развития Университета и принявших участие в федеральных и международных форумах и проектах; - Увеличение количества студентов, вовлеченных в проектную деятельность, занимающихся разработкой </w:t>
      </w:r>
      <w:proofErr w:type="spellStart"/>
      <w:r>
        <w:t>бизнес-проектов</w:t>
      </w:r>
      <w:proofErr w:type="spellEnd"/>
      <w:r>
        <w:t xml:space="preserve">, до 100-150 человек; - Повышение доли студентов, участвующих в работе молодежного </w:t>
      </w:r>
      <w:proofErr w:type="spellStart"/>
      <w:r>
        <w:t>бизнес-инкубатора</w:t>
      </w:r>
      <w:proofErr w:type="spellEnd"/>
      <w:r>
        <w:t xml:space="preserve"> и расширение возможности реализации на его платформе студенческих </w:t>
      </w:r>
      <w:proofErr w:type="spellStart"/>
      <w:r>
        <w:t>бизнес-проектов</w:t>
      </w:r>
      <w:proofErr w:type="spellEnd"/>
      <w:r>
        <w:t xml:space="preserve">; - Налаживание тесного контакта «студент-работодатель», который расширяет возможности профессиональной самореализации выпускника; - Формирование студентами плана карьеры; - Повышения качества вовлеченности студентов в общественную деятельность; - Повышения качества вовлеченности студентов в спорт и пропаганду здорового образа жизни; - Повышения качества вовлеченности студентов в патриотическую деятельность и развитие у них чувства толерантности и нетерпимости к проявлению экстремизма; - Повышение количества студентов, реализующих собственные социально-значимые проекты. </w:t>
      </w:r>
    </w:p>
    <w:p w:rsidR="006777FD" w:rsidRDefault="006777FD">
      <w:pPr>
        <w:pStyle w:val="a3"/>
      </w:pPr>
      <w:r>
        <w:t>3.3. Перечень субъектов Российской Федерации, из образовательных организаций которых обучающиеся будут принимать участие в мероприятиях Программы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Башкортостан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Марий Эл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Мордовия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Татарстан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Удмуртская Республика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Чувашская Республика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Самарская область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Саратовская область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город Москва</w:t>
      </w:r>
    </w:p>
    <w:p w:rsidR="006777FD" w:rsidRDefault="006777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Санкт-Петербург</w:t>
      </w:r>
    </w:p>
    <w:p w:rsidR="006777FD" w:rsidRDefault="006777FD">
      <w:pPr>
        <w:pStyle w:val="a3"/>
      </w:pPr>
      <w:r>
        <w:t>3.4. Целевые показатели Программы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88"/>
        <w:gridCol w:w="1348"/>
        <w:gridCol w:w="1293"/>
        <w:gridCol w:w="1480"/>
      </w:tblGrid>
      <w:tr w:rsidR="006777FD" w:rsidTr="00B6424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Базовое значение (2015 год)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Плановое значение на 2016 год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rPr>
                <w:b/>
                <w:bCs/>
              </w:rPr>
              <w:t>3. Культура и творчество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3.1 Количество творческих направлений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3.2 Количество творческих коллективов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50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3.3 Количество призовых мест, занятых студенческими творческими объединениями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25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3.4 Количество студентов от общего количества студентов очной формы обучения, включая филиалы, участвующих в деятельности студенческих творческих коллективов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10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rPr>
                <w:b/>
                <w:bCs/>
              </w:rPr>
              <w:t>4. Студенческий спорт и здоровый образ жизни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4.1 Количество спортивных секций, входящих в утвержденный план работы спортивного клуба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30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4.2 Количество студентов от общего количества студентов очной формы обучения, включая филиалы, входящих в состав спортивного клуба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28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 xml:space="preserve">4.3 Доля студентов от общего количества студентов очной формы обучения, включая филиалы, регулярно занимающихся физической культурой и спортом во </w:t>
            </w:r>
            <w:proofErr w:type="spellStart"/>
            <w:r>
              <w:t>внеучебное</w:t>
            </w:r>
            <w:proofErr w:type="spellEnd"/>
            <w:r>
              <w:t xml:space="preserve"> время (без учета учебной дисциплины «Физическая культура»)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37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 xml:space="preserve">4.4 Доля студентов с ограниченными возможностями от общего количества студентов с ограниченными возможностями очной формы обучения, включая филиалы, регулярно занимающихся физической культурой и спортом во </w:t>
            </w:r>
            <w:proofErr w:type="spellStart"/>
            <w:r>
              <w:t>внеучебное</w:t>
            </w:r>
            <w:proofErr w:type="spellEnd"/>
            <w:r>
              <w:t xml:space="preserve"> время (без учета учебной дисциплины «Физическая культура»)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4.5 Количество членов сборных команд образовательной организации по видам спорта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340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4.6 Количество призовых мест (наград), занятых студенческими командами на официальных региональных, окружных и всероссийских соревнованиях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12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rPr>
                <w:b/>
                <w:bCs/>
              </w:rPr>
              <w:t>10. Социальные стандарты и права студентов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10.1 Количество студентов очной формы обучения, включая филиалы, которым предоставлено место проживания в общежитии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25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10.2 Количество студентов очной формы обучения, включая филиалы, вовлеченным в процесс развития качества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35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10.3 Количество студентов-представителей советов обучающихся и представительных органов обучающихся, входящих в состав стипендиальной комиссии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60</w:t>
            </w:r>
          </w:p>
        </w:tc>
      </w:tr>
      <w:tr w:rsidR="006777FD" w:rsidTr="00B64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10.4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70</w:t>
            </w:r>
          </w:p>
        </w:tc>
      </w:tr>
    </w:tbl>
    <w:p w:rsidR="006777FD" w:rsidRDefault="006777FD">
      <w:pPr>
        <w:pStyle w:val="a3"/>
        <w:spacing w:after="240" w:afterAutospacing="0"/>
      </w:pPr>
    </w:p>
    <w:p w:rsidR="006777FD" w:rsidRDefault="006777FD">
      <w:pPr>
        <w:pStyle w:val="a3"/>
      </w:pPr>
      <w:r>
        <w:t>3.5. Мероприятия Программы</w:t>
      </w:r>
    </w:p>
    <w:p w:rsidR="006777FD" w:rsidRDefault="006777F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Направление «Культура и творчество»</w:t>
      </w:r>
      <w:r>
        <w:rPr>
          <w:rFonts w:eastAsia="Times New Roman"/>
        </w:rPr>
        <w:t xml:space="preserve"> </w:t>
      </w:r>
    </w:p>
    <w:p w:rsidR="00B64248" w:rsidRDefault="00B64248" w:rsidP="00B64248">
      <w:pPr>
        <w:pStyle w:val="a3"/>
        <w:spacing w:after="0" w:afterAutospacing="0"/>
      </w:pPr>
      <w:r>
        <w:t>Мероприятие 3.1 День химика</w:t>
      </w:r>
      <w:r>
        <w:br/>
        <w:t>Краткое описание:</w:t>
      </w:r>
      <w:r>
        <w:br/>
        <w:t>Праздничный концерт «День химика» проводится на уровне Республики уже не первый год, и часто приурочен к празднованию значимых юбилейных дат, как в истории отечественной химии, так и в истории химической промышленности Республики Татарстан. Проводится отдельная церемония награждения лучших представителей химической промышленности, а также победителей химических олимпиад и конференций..</w:t>
      </w:r>
      <w:r>
        <w:br/>
        <w:t>Период реализации: 23.05.2016 - 28.05.2016</w:t>
      </w:r>
      <w:r>
        <w:br/>
        <w:t xml:space="preserve">Количество участников: </w:t>
      </w:r>
      <w:r>
        <w:rPr>
          <w:u w:val="single"/>
        </w:rPr>
        <w:t>3500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1</w:t>
      </w:r>
      <w:r>
        <w:br/>
        <w:t>Непосредственные результаты мероприятия:</w:t>
      </w:r>
      <w:r>
        <w:br/>
        <w:t xml:space="preserve">Фестиваль является своего рода поддержкой студенческой молодежи; выступают в основном непрофессиональные певцы/танцоры, которые учатся вести себя на сцене. Так же укрепляются культурные связи между студенческими коллективами КНИТУ и учебными заведениями республики Татарстан. </w:t>
      </w:r>
    </w:p>
    <w:p w:rsidR="00B64248" w:rsidRDefault="00B64248" w:rsidP="00B64248">
      <w:pPr>
        <w:rPr>
          <w:rFonts w:eastAsia="Times New Roman"/>
        </w:rPr>
      </w:pPr>
    </w:p>
    <w:p w:rsidR="00B64248" w:rsidRDefault="00B64248" w:rsidP="00B64248">
      <w:pPr>
        <w:pStyle w:val="a3"/>
        <w:spacing w:after="0" w:afterAutospacing="0"/>
      </w:pPr>
      <w:r>
        <w:t>Мероприятие 3.2 Путь к успеху</w:t>
      </w:r>
      <w:r>
        <w:br/>
        <w:t>Краткое описание:</w:t>
      </w:r>
      <w:r>
        <w:br/>
        <w:t>Мероприятие «Путь к успеху» является одним из мероприятий КНИТУ, подводящих итог работы за год. Это встреча - презентация нашего ВУЗа перед лучшими школьниками Казани, победителями химических олимпиад, директорами школ – партнеров, а так же лучшими преподавателями технических специальностей. Данный концерт освещает основные достижения и результаты работы за год, награждаются лучшие школы – партнеры, лучшие преподаватели вуза, а так же победители школьных олимпиад в химической области, что позволяет этим школьникам поступить в наш вуз без конкурса. В рамках мероприятия также проводится «Виват, химия» - клубное танцевальное событие вуза. В один из Казанских клубов, в дневное время приглашаются учащиеся старших классов Казанских школ, где для них в неформальной обстановке рассказывают о студенческой жизни и основных достижениях КНИТУ, презентуется деятельность творческих объединений вуза, а также рассказывается о результатах деятельности студенческих организаций КНИТУ.</w:t>
      </w:r>
      <w:r>
        <w:br/>
        <w:t>Период реализации: 08.10.2016 - 15.11.2016</w:t>
      </w:r>
      <w:r>
        <w:br/>
        <w:t xml:space="preserve">Количество участников: </w:t>
      </w:r>
      <w:r>
        <w:rPr>
          <w:u w:val="single"/>
        </w:rPr>
        <w:t>1200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3</w:t>
      </w:r>
      <w:r>
        <w:br/>
        <w:t>Непосредственные результаты мероприятия:</w:t>
      </w:r>
      <w:r>
        <w:br/>
        <w:t xml:space="preserve">Привлечение абитуриентов для поступления в КНИТУ. Благодаря проведению данных мероприятий абитуриенты целенаправленно идут именно на интересующую их специальность, что повышает уровень успеваемости и последующей </w:t>
      </w:r>
      <w:proofErr w:type="spellStart"/>
      <w:r>
        <w:t>трудоустраиваемости</w:t>
      </w:r>
      <w:proofErr w:type="spellEnd"/>
      <w:r>
        <w:t xml:space="preserve"> </w:t>
      </w:r>
    </w:p>
    <w:p w:rsidR="006777FD" w:rsidRDefault="006777FD">
      <w:pPr>
        <w:rPr>
          <w:rFonts w:eastAsia="Times New Roman"/>
        </w:rPr>
      </w:pPr>
    </w:p>
    <w:p w:rsidR="006777FD" w:rsidRDefault="006777FD">
      <w:pPr>
        <w:pStyle w:val="a3"/>
        <w:spacing w:after="0" w:afterAutospacing="0"/>
      </w:pPr>
      <w:r>
        <w:t>Мероприятие 3.3 Республиканский фестиваль альтернативного творчества "Формула жизни"</w:t>
      </w:r>
      <w:r>
        <w:br/>
        <w:t>Краткое описание:</w:t>
      </w:r>
      <w:r>
        <w:br/>
        <w:t xml:space="preserve">Студенческий фестиваль творчества «Формула жизни» создавался с целью создания условий для реализации творческого потенциала у студентов Республики Татарстан, занимающихся </w:t>
      </w:r>
      <w:proofErr w:type="spellStart"/>
      <w:r>
        <w:t>рэпом</w:t>
      </w:r>
      <w:proofErr w:type="spellEnd"/>
      <w:r>
        <w:t xml:space="preserve">, </w:t>
      </w:r>
      <w:proofErr w:type="spellStart"/>
      <w:r>
        <w:t>бит-боксом</w:t>
      </w:r>
      <w:proofErr w:type="spellEnd"/>
      <w:r>
        <w:t xml:space="preserve">, </w:t>
      </w:r>
      <w:proofErr w:type="spellStart"/>
      <w:r>
        <w:t>хип-хопом</w:t>
      </w:r>
      <w:proofErr w:type="spellEnd"/>
      <w:r>
        <w:t>, брейк–</w:t>
      </w:r>
      <w:proofErr w:type="spellStart"/>
      <w:r>
        <w:t>дансом</w:t>
      </w:r>
      <w:proofErr w:type="spellEnd"/>
      <w:r>
        <w:t xml:space="preserve">, рисованием </w:t>
      </w:r>
      <w:proofErr w:type="spellStart"/>
      <w:r>
        <w:t>граффти</w:t>
      </w:r>
      <w:proofErr w:type="spellEnd"/>
      <w:r>
        <w:t>, фотоискусством, так как эти направления зачастую не входят в формат таких мероприятий, как «Студенческая весна» и «День Первокурсника». А так же для выявления талантливой студенческой молодежи в области современного искусства, которые в дальнейшем участвуют в российских и международных фестивалях такого рода. .</w:t>
      </w:r>
      <w:r>
        <w:br/>
        <w:t>Период реализации: 10.09.2016 - 29.11.2016</w:t>
      </w:r>
      <w:r>
        <w:br/>
        <w:t xml:space="preserve">Количество участников: </w:t>
      </w:r>
      <w:r>
        <w:rPr>
          <w:u w:val="single"/>
        </w:rPr>
        <w:t>590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4</w:t>
      </w:r>
      <w:r>
        <w:br/>
        <w:t>Непосредственные результаты мероприятия:</w:t>
      </w:r>
      <w:r>
        <w:br/>
        <w:t xml:space="preserve">Фестиваль является своего рода поддержкой студенческой молодежи; выступают в основном непрофессиональные певцы/танцоры, которые учатся вести себя на сцене. Так же укрепляются культурные связи между студенческими коллективами КНИТУ и учебными заведениями республики Татарстан. </w:t>
      </w:r>
    </w:p>
    <w:p w:rsidR="006777FD" w:rsidRDefault="006777FD">
      <w:pPr>
        <w:rPr>
          <w:rFonts w:eastAsia="Times New Roman"/>
        </w:rPr>
      </w:pPr>
    </w:p>
    <w:p w:rsidR="006777FD" w:rsidRDefault="006777FD">
      <w:pPr>
        <w:pStyle w:val="a3"/>
        <w:spacing w:after="0" w:afterAutospacing="0"/>
      </w:pPr>
      <w:r>
        <w:t>Мероприяти</w:t>
      </w:r>
      <w:r w:rsidR="00B64248">
        <w:t>е 3.4</w:t>
      </w:r>
      <w:r>
        <w:t xml:space="preserve"> Фестиваль «Осенний дебют»</w:t>
      </w:r>
      <w:r>
        <w:br/>
        <w:t>Краткое описание:</w:t>
      </w:r>
      <w:r>
        <w:br/>
        <w:t>Фестиваль включает в себя Городской студенческий фестиваль авторской песни «Студент и гитара», который проводится по нескольким номинациям: авторская песня (сольное исполнение), поэзия и песни бардов, ансамбли, дуэты, трио, квартеты и т.д. Целью является развитие и популяризация жанра авторской песни, укрепление творческих контактов, эстетического и духовного воспитания молодёжи. И Фестиваль КВН Химиков — популярные юмористические игры, в которых различных команды КНИТУ соревнуются в юмористических ответах на заданные вопросы, импровизациях на заданные темы и разыгрывании заранее заготовленных.</w:t>
      </w:r>
      <w:r>
        <w:br/>
        <w:t>Период реализации: 01.10.2016 - 10.12.2016</w:t>
      </w:r>
      <w:r>
        <w:br/>
        <w:t xml:space="preserve">Количество участников: </w:t>
      </w:r>
      <w:r>
        <w:rPr>
          <w:u w:val="single"/>
        </w:rPr>
        <w:t>750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3</w:t>
      </w:r>
      <w:r>
        <w:br/>
        <w:t>Непосредственные результаты мероприятия:</w:t>
      </w:r>
      <w:r>
        <w:br/>
        <w:t xml:space="preserve">Повышение исполнительского мастерства в сфере студенчества г.Казани; поиск новых талантливых бардов и исполнителей; развитие жанра авторской песни среди студенческой молодежи. Благодаря играм студенты реализуют весь свой творческий потенциал, получают массу полезных навыков, которые пригодятся в дальнейшей жизни, учатся отличать хороший юмор от плохого, развивают активную жизненную позицию. Также это отличная площадка для формирования новых сборных или появления новых участников в коллективе вузовской команды КВН. </w:t>
      </w:r>
    </w:p>
    <w:p w:rsidR="006777FD" w:rsidRDefault="006777FD">
      <w:pPr>
        <w:rPr>
          <w:rFonts w:eastAsia="Times New Roman"/>
        </w:rPr>
      </w:pPr>
    </w:p>
    <w:p w:rsidR="006777FD" w:rsidRDefault="00B64248">
      <w:pPr>
        <w:pStyle w:val="a3"/>
        <w:spacing w:after="0" w:afterAutospacing="0"/>
      </w:pPr>
      <w:r>
        <w:t>Мероприятие 3.5</w:t>
      </w:r>
      <w:r w:rsidR="006777FD">
        <w:t xml:space="preserve"> Республиканская «Студенческая весна»</w:t>
      </w:r>
      <w:r w:rsidR="006777FD">
        <w:br/>
        <w:t>Краткое описание:</w:t>
      </w:r>
      <w:r w:rsidR="006777FD">
        <w:br/>
        <w:t>Ежегодный региональный фестиваль студенческого творчества, который является площадкой для выявления и поддержки талантливых студентов. На протяжении трех месяцев студенты сражаются за звание лучшего по музыкальному, танцевальному, театральному направлениям, оригинальному жанру и журналистике. Конкурс реализуется в несколько этапов - факультет или институт, вузовский уровень, а затем победители отправляются на республиканскую площадку. Жюри фестиваля выступают известные творческие деятели и звезды эстрады Республики Татарстан и России. Победители получают право представлять республику на всероссийском фестивале «Российская студенческая весна»..</w:t>
      </w:r>
      <w:r w:rsidR="006777FD">
        <w:br/>
        <w:t>Период реализации: 01.03.2016 - 31.05.2016</w:t>
      </w:r>
      <w:r w:rsidR="006777FD">
        <w:br/>
        <w:t xml:space="preserve">Количество участников: </w:t>
      </w:r>
      <w:r w:rsidR="006777FD">
        <w:rPr>
          <w:u w:val="single"/>
        </w:rPr>
        <w:t>2500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10</w:t>
      </w:r>
      <w:r w:rsidR="006777FD">
        <w:br/>
        <w:t>Непосредственные результаты мероприятия:</w:t>
      </w:r>
      <w:r w:rsidR="006777FD">
        <w:br/>
        <w:t xml:space="preserve">выявление талантливой молодежи, повышение профессионального уровня студенческих творческих коллективов, укрепление разносторонних, профессиональных и культурных связей между молодежными, общественными организациями и учебными заведениями, реализация творческого потенциала студентов. </w:t>
      </w:r>
    </w:p>
    <w:p w:rsidR="006777FD" w:rsidRDefault="006777FD">
      <w:pPr>
        <w:rPr>
          <w:rFonts w:eastAsia="Times New Roman"/>
        </w:rPr>
      </w:pPr>
    </w:p>
    <w:p w:rsidR="006777FD" w:rsidRDefault="00B64248">
      <w:pPr>
        <w:pStyle w:val="a3"/>
        <w:spacing w:after="0" w:afterAutospacing="0"/>
      </w:pPr>
      <w:r>
        <w:t>Мероприятие 3.6</w:t>
      </w:r>
      <w:r w:rsidR="006777FD">
        <w:t xml:space="preserve"> Фестиваль студенческого интеллектуального творчества</w:t>
      </w:r>
      <w:r w:rsidR="006777FD">
        <w:br/>
        <w:t>Краткое описание:</w:t>
      </w:r>
      <w:r w:rsidR="006777FD">
        <w:br/>
        <w:t>Ежегодный турнир по интеллектуальным играм "Интеллектуальная лига КНИТУ" среди студентов и аспирантов вуза по играм Что Где Когда?, Брейн-ринг, «Эрудит-Квартет», Интеллектуальное многоборье, «Шляпа»..</w:t>
      </w:r>
      <w:r w:rsidR="006777FD">
        <w:br/>
        <w:t>Период реализации: 01.02.2016 - 25.12.2016</w:t>
      </w:r>
      <w:r w:rsidR="006777FD">
        <w:br/>
        <w:t xml:space="preserve">Количество участников: </w:t>
      </w:r>
      <w:r w:rsidR="006777FD">
        <w:rPr>
          <w:u w:val="single"/>
        </w:rPr>
        <w:t>900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13</w:t>
      </w:r>
      <w:r w:rsidR="006777FD">
        <w:br/>
        <w:t>Непосредственные результаты мероприятия:</w:t>
      </w:r>
      <w:r w:rsidR="006777FD">
        <w:br/>
        <w:t xml:space="preserve">Укрепление культурных связей, поддержка и помощь с </w:t>
      </w:r>
      <w:proofErr w:type="spellStart"/>
      <w:r w:rsidR="006777FD">
        <w:t>медиа-проектами</w:t>
      </w:r>
      <w:proofErr w:type="spellEnd"/>
      <w:r w:rsidR="006777FD">
        <w:t xml:space="preserve"> студентам вуза, дополнительная мотивация к участию в общественной жизни университета, расширение кругозора студенческой молодежи, организация условий для творческого, интеллектуального развития </w:t>
      </w:r>
    </w:p>
    <w:p w:rsidR="006777FD" w:rsidRDefault="006777FD">
      <w:pPr>
        <w:rPr>
          <w:rFonts w:eastAsia="Times New Roman"/>
        </w:rPr>
      </w:pPr>
    </w:p>
    <w:p w:rsidR="006777FD" w:rsidRDefault="00B64248">
      <w:pPr>
        <w:pStyle w:val="a3"/>
        <w:spacing w:after="0" w:afterAutospacing="0"/>
      </w:pPr>
      <w:r>
        <w:t>Мероприятие 3.7</w:t>
      </w:r>
      <w:r w:rsidR="006777FD">
        <w:t xml:space="preserve"> Конкурс «Краса студенчества Республики Татарстан»</w:t>
      </w:r>
      <w:r w:rsidR="006777FD">
        <w:br/>
        <w:t>Краткое описание:</w:t>
      </w:r>
      <w:r w:rsidR="006777FD">
        <w:br/>
        <w:t>Формирование эстетических идеалов с использованием лучших достижений творческих сил Татарстана в области стиля моды и красоты..</w:t>
      </w:r>
      <w:r w:rsidR="006777FD">
        <w:br/>
        <w:t>Период реализации: 01.05.2016 - 01.11.2016</w:t>
      </w:r>
      <w:r w:rsidR="006777FD">
        <w:br/>
        <w:t xml:space="preserve">Количество участников: </w:t>
      </w:r>
      <w:r w:rsidR="006777FD">
        <w:rPr>
          <w:u w:val="single"/>
        </w:rPr>
        <w:t>1000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1</w:t>
      </w:r>
      <w:r w:rsidR="006777FD">
        <w:br/>
        <w:t>Непосредственные результаты мероприятия:</w:t>
      </w:r>
      <w:r w:rsidR="006777FD">
        <w:br/>
        <w:t xml:space="preserve">Выявление и развитие творческого потенциала и дальнейшее личностное развитие участниц. Эстетическая образованность и формирование идеалов среди студентов КНИТУ. </w:t>
      </w:r>
    </w:p>
    <w:p w:rsidR="006777FD" w:rsidRDefault="006777FD">
      <w:pPr>
        <w:rPr>
          <w:rFonts w:eastAsia="Times New Roman"/>
        </w:rPr>
      </w:pPr>
    </w:p>
    <w:p w:rsidR="00B64248" w:rsidRDefault="00B64248" w:rsidP="00B64248">
      <w:pPr>
        <w:pStyle w:val="a3"/>
        <w:spacing w:after="0" w:afterAutospacing="0"/>
      </w:pPr>
      <w:r>
        <w:t>Мероприятие 3.8 День Газпрома в КНИТУ</w:t>
      </w:r>
      <w:r>
        <w:br/>
        <w:t>Краткое описание:</w:t>
      </w:r>
      <w:r>
        <w:br/>
        <w:t xml:space="preserve">Ежегодное мероприятие, проводимое с целью популяризации инженерных профессий в сфере </w:t>
      </w:r>
      <w:proofErr w:type="spellStart"/>
      <w:r>
        <w:t>нефте</w:t>
      </w:r>
      <w:proofErr w:type="spellEnd"/>
      <w:r>
        <w:t xml:space="preserve">-, газодобычи и переработки в ОАО «Газпром». Создание новых совместных проектов и укрепление политических отношений между КНИТУ И ОАО «Газпром», разработка планов стратегического развития </w:t>
      </w:r>
      <w:proofErr w:type="spellStart"/>
      <w:r>
        <w:t>нефтегазохимической</w:t>
      </w:r>
      <w:proofErr w:type="spellEnd"/>
      <w:r>
        <w:t xml:space="preserve"> отрасли..</w:t>
      </w:r>
      <w:r>
        <w:br/>
        <w:t>Период реализации: 02.05.2016 - 03.05.2016</w:t>
      </w:r>
      <w:r>
        <w:br/>
        <w:t xml:space="preserve">Количество участников: </w:t>
      </w:r>
      <w:r>
        <w:rPr>
          <w:u w:val="single"/>
        </w:rPr>
        <w:t>1500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3</w:t>
      </w:r>
      <w:r>
        <w:br/>
        <w:t>Непосредственные результаты мероприятия:</w:t>
      </w:r>
      <w:r>
        <w:br/>
        <w:t xml:space="preserve">Привлечение кадров в ОАО «Газпром», путем информирования их о возможном трудоустройстве. Налаживание политических отношений между КНИТУ и ОАО»Газпром», заключение важных договоров и контрактов. Создание совместных перспективных проектов, развитие партнёрских отношений. </w:t>
      </w:r>
    </w:p>
    <w:p w:rsidR="00B64248" w:rsidRDefault="006777FD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</w:p>
    <w:p w:rsidR="006777FD" w:rsidRDefault="006777FD">
      <w:pPr>
        <w:rPr>
          <w:rFonts w:eastAsia="Times New Roman"/>
        </w:rPr>
      </w:pPr>
      <w:r>
        <w:rPr>
          <w:rFonts w:eastAsia="Times New Roman"/>
          <w:b/>
          <w:bCs/>
        </w:rPr>
        <w:t>Направление «Студенческий спорт и здоровый образ жизни»</w:t>
      </w:r>
      <w:r>
        <w:rPr>
          <w:rFonts w:eastAsia="Times New Roman"/>
        </w:rPr>
        <w:t xml:space="preserve"> </w:t>
      </w:r>
    </w:p>
    <w:p w:rsidR="006777FD" w:rsidRDefault="006777FD">
      <w:pPr>
        <w:rPr>
          <w:rFonts w:eastAsia="Times New Roman"/>
        </w:rPr>
      </w:pPr>
    </w:p>
    <w:p w:rsidR="006777FD" w:rsidRDefault="00B64248">
      <w:pPr>
        <w:pStyle w:val="a3"/>
        <w:spacing w:after="0" w:afterAutospacing="0"/>
      </w:pPr>
      <w:r>
        <w:t>Мероприятие 4.1</w:t>
      </w:r>
      <w:r w:rsidR="006777FD">
        <w:t xml:space="preserve"> «Неделя здорового образа жизни»</w:t>
      </w:r>
      <w:r w:rsidR="006777FD">
        <w:br/>
        <w:t>Краткое описание:</w:t>
      </w:r>
      <w:r w:rsidR="006777FD">
        <w:br/>
        <w:t>Организация и проведение ряда мероприятий и акций в учебных корпусах университета, направленных на пропаганду здорового образа жизни. Среди них - акция «Хочешь жить – бросай курить » перед входами в учебные корпуса КНИТУ, а также печать брошюр и стенгазет о здоровом питании и правильном образе жизни..</w:t>
      </w:r>
      <w:r w:rsidR="006777FD">
        <w:br/>
        <w:t>Период реализации: 13.04.2016 - 18.04.2016</w:t>
      </w:r>
      <w:r w:rsidR="006777FD">
        <w:br/>
        <w:t xml:space="preserve">Количество участников: </w:t>
      </w:r>
      <w:r w:rsidR="006777FD">
        <w:rPr>
          <w:u w:val="single"/>
        </w:rPr>
        <w:t>2000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15</w:t>
      </w:r>
      <w:r w:rsidR="006777FD">
        <w:br/>
        <w:t>Непосредственные результаты мероприятия:</w:t>
      </w:r>
      <w:r w:rsidR="006777FD">
        <w:br/>
        <w:t xml:space="preserve">повышение внимания студентов к ценностям здорового образа жизни, формирование у студентов мотивов самосохранения, воспитание привычки думать и заботиться о своём здоровье. </w:t>
      </w:r>
    </w:p>
    <w:p w:rsidR="006777FD" w:rsidRDefault="006777FD">
      <w:pPr>
        <w:rPr>
          <w:rFonts w:eastAsia="Times New Roman"/>
        </w:rPr>
      </w:pPr>
    </w:p>
    <w:p w:rsidR="006777FD" w:rsidRDefault="00B64248">
      <w:pPr>
        <w:pStyle w:val="a3"/>
        <w:spacing w:after="0" w:afterAutospacing="0"/>
      </w:pPr>
      <w:r>
        <w:t xml:space="preserve">Мероприятие 4.2 </w:t>
      </w:r>
      <w:r w:rsidR="006777FD">
        <w:t xml:space="preserve"> «Всероссийский фестиваль по черлидингу»</w:t>
      </w:r>
      <w:r w:rsidR="006777FD">
        <w:br/>
        <w:t>Краткое описание:</w:t>
      </w:r>
      <w:r w:rsidR="006777FD">
        <w:br/>
        <w:t>Организация и проведение чемпионата по черлидингу (групп поддержки спортивных команд) в направлениях "Чир", "</w:t>
      </w:r>
      <w:proofErr w:type="spellStart"/>
      <w:r w:rsidR="006777FD">
        <w:t>чир-данс</w:t>
      </w:r>
      <w:proofErr w:type="spellEnd"/>
      <w:r w:rsidR="006777FD">
        <w:t xml:space="preserve">", "Чир данс шоу" на уровне России. </w:t>
      </w:r>
      <w:proofErr w:type="spellStart"/>
      <w:r w:rsidR="006777FD">
        <w:t>Черлидинг</w:t>
      </w:r>
      <w:proofErr w:type="spellEnd"/>
      <w:r w:rsidR="006777FD">
        <w:t xml:space="preserve"> — это международный современный вид спорта, который сочетает в себе элементы шоу и зрелищных видов спорта таких как: спортивные танцы, гимнастика и акробатика..</w:t>
      </w:r>
      <w:r w:rsidR="006777FD">
        <w:br/>
        <w:t>Период реализации: 01.10.2016 - 01.12.2016</w:t>
      </w:r>
      <w:r w:rsidR="006777FD">
        <w:br/>
        <w:t xml:space="preserve">Количество участников: </w:t>
      </w:r>
      <w:r w:rsidR="006777FD">
        <w:rPr>
          <w:u w:val="single"/>
        </w:rPr>
        <w:t>1000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2</w:t>
      </w:r>
      <w:r w:rsidR="006777FD">
        <w:br/>
        <w:t>Непосредственные результаты мероприятия:</w:t>
      </w:r>
      <w:r w:rsidR="006777FD">
        <w:br/>
        <w:t xml:space="preserve">Популяризация и развитие черлидинга , повышение спортивного мастерства команд-участников фестиваля; вовлечение молодежи в систематические занятия физкультурой и спортом. </w:t>
      </w:r>
    </w:p>
    <w:p w:rsidR="006777FD" w:rsidRDefault="006777FD" w:rsidP="00B64248"/>
    <w:p w:rsidR="006777FD" w:rsidRDefault="006777F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Направление «Социальные стандарты и права студентов»</w:t>
      </w:r>
      <w:r>
        <w:rPr>
          <w:rFonts w:eastAsia="Times New Roman"/>
        </w:rPr>
        <w:t xml:space="preserve"> </w:t>
      </w:r>
    </w:p>
    <w:p w:rsidR="006777FD" w:rsidRDefault="006777FD">
      <w:pPr>
        <w:pStyle w:val="a3"/>
        <w:spacing w:after="0" w:afterAutospacing="0"/>
      </w:pPr>
      <w:r>
        <w:t>Мероприятие 10.1 "Всероссийский форум СПО"</w:t>
      </w:r>
      <w:r>
        <w:br/>
        <w:t>Краткое описание:</w:t>
      </w:r>
      <w:r>
        <w:br/>
        <w:t>Обсуждение самых актуальных проблемы студентов, получающих среднее профессиональное образование, а также обмен опытом деятельности студенческих объединений, проведение мастер-классов и коммуникационных сессий, посвященных различным направлениям. Рассмотрение проблем и механизмов их решения..</w:t>
      </w:r>
      <w:r>
        <w:br/>
        <w:t>Период реализации: 15.10.2016 - 30.11.2016</w:t>
      </w:r>
      <w:r>
        <w:br/>
        <w:t xml:space="preserve">Количество участников: </w:t>
      </w:r>
      <w:r>
        <w:rPr>
          <w:u w:val="single"/>
        </w:rPr>
        <w:t>2000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3</w:t>
      </w:r>
      <w:r>
        <w:br/>
        <w:t>Непосредственные результаты мероприятия:</w:t>
      </w:r>
      <w:r>
        <w:br/>
        <w:t xml:space="preserve">Выявление путей решения проблем в сфере среднего профессионального образования. Создание новых проектов, направленных на развитие деятельности студенческих объединений. </w:t>
      </w:r>
    </w:p>
    <w:p w:rsidR="006777FD" w:rsidRDefault="006777FD">
      <w:pPr>
        <w:rPr>
          <w:rFonts w:eastAsia="Times New Roman"/>
        </w:rPr>
      </w:pPr>
    </w:p>
    <w:p w:rsidR="006777FD" w:rsidRDefault="00472D90">
      <w:pPr>
        <w:pStyle w:val="a3"/>
        <w:spacing w:after="0" w:afterAutospacing="0"/>
      </w:pPr>
      <w:r>
        <w:t>Мероприятие 10.2</w:t>
      </w:r>
      <w:r w:rsidR="006777FD">
        <w:t xml:space="preserve"> «Фестиваль ДАС»</w:t>
      </w:r>
      <w:r w:rsidR="006777FD">
        <w:br/>
        <w:t>Краткое описание:</w:t>
      </w:r>
      <w:r w:rsidR="006777FD">
        <w:br/>
        <w:t xml:space="preserve">Фестиваль ДАС – традиционное мероприятие КНИТУ, которое проводится в течение года. В рамках фестиваля проводится Конкурс </w:t>
      </w:r>
      <w:proofErr w:type="spellStart"/>
      <w:r w:rsidR="006777FD">
        <w:t>студсоветов</w:t>
      </w:r>
      <w:proofErr w:type="spellEnd"/>
      <w:r w:rsidR="006777FD">
        <w:t xml:space="preserve">, где оценивается документация и работа </w:t>
      </w:r>
      <w:proofErr w:type="spellStart"/>
      <w:r w:rsidR="006777FD">
        <w:t>студсоветов</w:t>
      </w:r>
      <w:proofErr w:type="spellEnd"/>
      <w:r w:rsidR="006777FD">
        <w:t xml:space="preserve"> ДАС, и «</w:t>
      </w:r>
      <w:proofErr w:type="spellStart"/>
      <w:r w:rsidR="006777FD">
        <w:t>Брейн-Фестиваль</w:t>
      </w:r>
      <w:proofErr w:type="spellEnd"/>
      <w:r w:rsidR="006777FD">
        <w:t>» - интеллектуальный конкурс команд ДАС. Дома студентов и аспирантов зарабатывают награды, достигают каких либо результатов, и апогеем их деятельности за год становится фестиваль, на котором каждый из пяти общежитий показывает, на что он способен еще и в творческой составляющей! Визитная карточка студенческих советов, творческий конкурс, конкурс видеороликов, презентация того как студенты общаются с представителями других национальностей – это лишь малая часть мероприятий входящих в состав фестиваля..</w:t>
      </w:r>
      <w:r w:rsidR="006777FD">
        <w:br/>
        <w:t>Период реализации: 15.11.2016 - 30.11.2016</w:t>
      </w:r>
      <w:r w:rsidR="006777FD">
        <w:br/>
        <w:t xml:space="preserve">Количество участников: </w:t>
      </w:r>
      <w:r w:rsidR="006777FD">
        <w:rPr>
          <w:u w:val="single"/>
        </w:rPr>
        <w:t>1500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4</w:t>
      </w:r>
      <w:r w:rsidR="006777FD">
        <w:br/>
        <w:t>Непосредственные результаты мероприятия:</w:t>
      </w:r>
      <w:r w:rsidR="006777FD">
        <w:br/>
        <w:t xml:space="preserve">Улучшается межнациональное и межэтническое общение, увеличивается активность студентов в общежитиях. </w:t>
      </w:r>
    </w:p>
    <w:p w:rsidR="006777FD" w:rsidRDefault="006777FD">
      <w:pPr>
        <w:rPr>
          <w:rFonts w:eastAsia="Times New Roman"/>
        </w:rPr>
      </w:pPr>
    </w:p>
    <w:p w:rsidR="006777FD" w:rsidRDefault="00472D90">
      <w:pPr>
        <w:pStyle w:val="a3"/>
        <w:spacing w:after="0" w:afterAutospacing="0"/>
      </w:pPr>
      <w:r>
        <w:t>Мероприятие 10.3</w:t>
      </w:r>
      <w:r w:rsidR="006777FD">
        <w:t xml:space="preserve"> Республиканская школа «Стипендиальное обеспечение»</w:t>
      </w:r>
      <w:r w:rsidR="006777FD">
        <w:br/>
        <w:t>Краткое описание:</w:t>
      </w:r>
      <w:r w:rsidR="006777FD">
        <w:br/>
        <w:t xml:space="preserve">В программу смены войдут: тренинги на знакомство, </w:t>
      </w:r>
      <w:proofErr w:type="spellStart"/>
      <w:r w:rsidR="006777FD">
        <w:t>командообразование</w:t>
      </w:r>
      <w:proofErr w:type="spellEnd"/>
      <w:r w:rsidR="006777FD">
        <w:t>, лекции, практические занятия, мастер-классы по стипендиальному обеспечению вузов РФ..</w:t>
      </w:r>
      <w:r w:rsidR="006777FD">
        <w:br/>
        <w:t>Период реализации: 01.03.2016 - 31.10.2016</w:t>
      </w:r>
      <w:r w:rsidR="006777FD">
        <w:br/>
        <w:t xml:space="preserve">Количество участников: </w:t>
      </w:r>
      <w:r w:rsidR="006777FD">
        <w:rPr>
          <w:u w:val="single"/>
        </w:rPr>
        <w:t>200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6</w:t>
      </w:r>
      <w:r w:rsidR="006777FD">
        <w:br/>
        <w:t>Непосредственные результаты мероприятия:</w:t>
      </w:r>
      <w:r w:rsidR="006777FD">
        <w:br/>
        <w:t xml:space="preserve">Повышение грамотности у студентов в области материального обеспечения, знакомство и полезные связи. </w:t>
      </w:r>
    </w:p>
    <w:p w:rsidR="006777FD" w:rsidRDefault="006777FD">
      <w:pPr>
        <w:rPr>
          <w:rFonts w:eastAsia="Times New Roman"/>
        </w:rPr>
      </w:pPr>
    </w:p>
    <w:p w:rsidR="006777FD" w:rsidRDefault="00472D90">
      <w:pPr>
        <w:pStyle w:val="a3"/>
        <w:spacing w:after="0" w:afterAutospacing="0"/>
      </w:pPr>
      <w:r>
        <w:t>Мероприятие 10.4</w:t>
      </w:r>
      <w:r w:rsidR="006777FD">
        <w:t xml:space="preserve"> Круглогодичная межвузовская школа профсоюзного актива «Поколение П»</w:t>
      </w:r>
      <w:r w:rsidR="006777FD">
        <w:br/>
        <w:t>Краткое описание:</w:t>
      </w:r>
      <w:r w:rsidR="006777FD">
        <w:br/>
        <w:t xml:space="preserve">Школа направлена на повышение правовой грамотности и личностных компетенций у профгруппоргов, профактива </w:t>
      </w:r>
      <w:proofErr w:type="spellStart"/>
      <w:r w:rsidR="006777FD">
        <w:t>вузов.Школа</w:t>
      </w:r>
      <w:proofErr w:type="spellEnd"/>
      <w:r w:rsidR="006777FD">
        <w:t xml:space="preserve"> проводится 5 лет. В 2015 году приняло участие 4 вуза КНИТУ, КНИТУ им. А.Н. Туполева, КГЭУ, К(П)ФУ. Школа представляет собой циклическую программу и проводится в 4 этапа: мастер-классы и семинары правовой направленности (</w:t>
      </w:r>
      <w:proofErr w:type="spellStart"/>
      <w:r w:rsidR="006777FD">
        <w:t>Роспотребнадзор</w:t>
      </w:r>
      <w:proofErr w:type="spellEnd"/>
      <w:r w:rsidR="006777FD">
        <w:t>, Профсоюз образования, Федерация профсоюзов РТ; проектная деятельность, развитие личных компетенций; конкурс студенческий лидер среди участников; школа кураторов для подготовки из участников новых кураторов для начало новой школы «Поколение П»..</w:t>
      </w:r>
      <w:r w:rsidR="006777FD">
        <w:br/>
        <w:t>Период реализации: 01.02.2016 - 30.12.2016</w:t>
      </w:r>
      <w:r w:rsidR="006777FD">
        <w:br/>
        <w:t xml:space="preserve">Количество участников: </w:t>
      </w:r>
      <w:r w:rsidR="006777FD">
        <w:rPr>
          <w:u w:val="single"/>
        </w:rPr>
        <w:t>250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83</w:t>
      </w:r>
      <w:r w:rsidR="006777FD">
        <w:br/>
        <w:t>Непосредственные результаты мероприятия:</w:t>
      </w:r>
      <w:r w:rsidR="006777FD">
        <w:br/>
        <w:t xml:space="preserve">повышение правовой грамотности среди студентов, выявление и подготовка лидеров для работы в студенческих объединениях вузов. </w:t>
      </w:r>
    </w:p>
    <w:p w:rsidR="006777FD" w:rsidRDefault="006777FD">
      <w:pPr>
        <w:rPr>
          <w:rFonts w:eastAsia="Times New Roman"/>
        </w:rPr>
      </w:pPr>
    </w:p>
    <w:p w:rsidR="006777FD" w:rsidRDefault="00472D90">
      <w:pPr>
        <w:pStyle w:val="a3"/>
        <w:spacing w:after="0" w:afterAutospacing="0"/>
      </w:pPr>
      <w:r>
        <w:t>Мероприятие 10.5</w:t>
      </w:r>
      <w:r w:rsidR="006777FD">
        <w:t xml:space="preserve"> Круглогодичные школы студенческого актива</w:t>
      </w:r>
      <w:r w:rsidR="006777FD">
        <w:br/>
        <w:t>Краткое описание:</w:t>
      </w:r>
      <w:r w:rsidR="006777FD">
        <w:br/>
        <w:t>Осенняя школа студенческого актива КНИТУ в СОЛ "Сосновый бор", а также участие в Республиканских и Всероссийских школах актива, форумах, конкурсах..</w:t>
      </w:r>
      <w:r w:rsidR="006777FD">
        <w:br/>
        <w:t>Период реализации: 01.02.2016 - 20.12.2016</w:t>
      </w:r>
      <w:r w:rsidR="006777FD">
        <w:br/>
        <w:t xml:space="preserve">Количество участников: </w:t>
      </w:r>
      <w:r w:rsidR="006777FD">
        <w:rPr>
          <w:u w:val="single"/>
        </w:rPr>
        <w:t>300</w:t>
      </w:r>
      <w:r w:rsidR="006777FD">
        <w:br/>
        <w:t xml:space="preserve">Количество акций, событий, </w:t>
      </w:r>
      <w:proofErr w:type="spellStart"/>
      <w:r w:rsidR="006777FD">
        <w:t>ед</w:t>
      </w:r>
      <w:proofErr w:type="spellEnd"/>
      <w:r w:rsidR="006777FD">
        <w:t xml:space="preserve">: </w:t>
      </w:r>
      <w:r w:rsidR="006777FD">
        <w:rPr>
          <w:u w:val="single"/>
        </w:rPr>
        <w:t>6</w:t>
      </w:r>
      <w:r w:rsidR="006777FD">
        <w:br/>
        <w:t>Непосредственные результаты мероприятия:</w:t>
      </w:r>
      <w:r w:rsidR="006777FD">
        <w:br/>
        <w:t xml:space="preserve">По итогам смен формируются новые команды и рабочие группы по новым, «рождённым» в рамках школ, проектам, а их выпускники пополняют ряды лидеров органов студенческого самоуправления университета. </w:t>
      </w:r>
    </w:p>
    <w:p w:rsidR="006777FD" w:rsidRDefault="006777FD">
      <w:pPr>
        <w:rPr>
          <w:rFonts w:eastAsia="Times New Roman"/>
        </w:rPr>
      </w:pPr>
    </w:p>
    <w:p w:rsidR="006777FD" w:rsidRDefault="006777FD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4. Управление реализацией Программы</w:t>
      </w:r>
    </w:p>
    <w:p w:rsidR="006777FD" w:rsidRDefault="006777FD">
      <w:pPr>
        <w:pStyle w:val="a3"/>
      </w:pPr>
      <w:r>
        <w:t>4.1. Порядок управления Программой</w:t>
      </w:r>
    </w:p>
    <w:p w:rsidR="006777FD" w:rsidRDefault="006777FD">
      <w:pPr>
        <w:pStyle w:val="a3"/>
      </w:pPr>
      <w:r>
        <w:t xml:space="preserve">Принципы взаимодействия студенческих объединений, входящих в состав совета 1. Принцип системности. Системный подход рассматривает деятельность студенческого объединения как целенаправленный, систематичный и регулируемый процесс функционирования и взаимодействия структурных подразделений студенческого совета для достижения уставных целей. Системный подход к развитию личности подразумевает, что студенческое объединение ориентировано на гармоничное развитие личности и формирование у студентов управленческих навыков. 2. Принцип добровольности. Студенты добровольно определяют степень своего участия в тех или иных студенческих формированиях. 3. Принцип выборности. Руководящие органы Студенческих объединений формируются на выборной основе. 4. Принцип единства и целостности. Студенческие объединения, функционирующие в вузе, являются субъектами Студенческого Самоуправления и осуществляют свою деятельность в правовом поле Студенческого Самоуправления в соответствии с положением или другим нормативным документом. 5 Принцип корпоративности и преемственности. Студенческое объединение является частью корпоративной культуры вуза и не может существовать вне вуза. Студенческое объединение неразрывно связано с историей, ценностями, традициями вуза. 6. Принцип государственности. Студенческое объединение осуществляет свою деятельность в соответствии с государственной, региональной и городской молодежной политикой. 7. Принцип развития. По мере накопления опыта и традиций Студенческое объединение может в установленном порядке приобрести права и принять на себя обязанности юридического лица. 8. Принцип представительства. Студенты, избранные в руководящие органы Студенческого объединения, выполняют свои функции, действуя от имени, по поручению и в интересах студентов вуза. . </w:t>
      </w:r>
    </w:p>
    <w:p w:rsidR="006777FD" w:rsidRDefault="006777FD">
      <w:pPr>
        <w:pStyle w:val="a3"/>
      </w:pPr>
      <w:r>
        <w:t>4.2. Меры по обеспечению публичности хода и результатов реализации Программы</w:t>
      </w:r>
    </w:p>
    <w:p w:rsidR="006777FD" w:rsidRDefault="006777FD">
      <w:pPr>
        <w:pStyle w:val="a3"/>
      </w:pPr>
      <w:r>
        <w:t xml:space="preserve">Публичность (открытость) информации о целевых индикаторах и показателях, результатах реализации Программы, ее мероприятиях и условиях участия в них Исполнителей, а также о проводимых конкурсах и критериях определения победителей обеспечивается размещением оперативной информации в сети Интернет и на сайте ФГБОУ ВПО «КНИТУ». Публикация информации о результатах реализации программных мероприятий в средствах массовой информации осуществляется не реже двух раз в год. </w:t>
      </w:r>
    </w:p>
    <w:p w:rsidR="006777FD" w:rsidRDefault="006777FD">
      <w:pPr>
        <w:pStyle w:val="a3"/>
        <w:pageBreakBefore/>
        <w:jc w:val="right"/>
      </w:pPr>
      <w:r>
        <w:rPr>
          <w:rStyle w:val="a4"/>
        </w:rPr>
        <w:t>Приложение № 1</w:t>
      </w:r>
    </w:p>
    <w:p w:rsidR="006777FD" w:rsidRDefault="006777FD">
      <w:pPr>
        <w:pStyle w:val="a3"/>
        <w:jc w:val="right"/>
      </w:pPr>
      <w:r>
        <w:rPr>
          <w:rStyle w:val="a4"/>
        </w:rPr>
        <w:t>к Программе развития деятельности студенческих объединений</w:t>
      </w:r>
    </w:p>
    <w:p w:rsidR="006777FD" w:rsidRDefault="006777FD">
      <w:pPr>
        <w:pStyle w:val="a3"/>
        <w:jc w:val="right"/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</w:t>
      </w:r>
    </w:p>
    <w:p w:rsidR="006777FD" w:rsidRDefault="006777FD">
      <w:pPr>
        <w:pStyle w:val="a3"/>
        <w:jc w:val="right"/>
      </w:pPr>
      <w:r>
        <w:rPr>
          <w:rStyle w:val="a4"/>
        </w:rPr>
        <w:t>на 2016 год</w:t>
      </w:r>
    </w:p>
    <w:p w:rsidR="006777FD" w:rsidRDefault="006777FD">
      <w:pPr>
        <w:pStyle w:val="a3"/>
        <w:jc w:val="right"/>
      </w:pPr>
      <w:r>
        <w:t> </w:t>
      </w:r>
    </w:p>
    <w:p w:rsidR="006777FD" w:rsidRDefault="006777FD">
      <w:pPr>
        <w:pStyle w:val="a3"/>
        <w:jc w:val="center"/>
      </w:pPr>
      <w:r>
        <w:t> </w:t>
      </w:r>
    </w:p>
    <w:p w:rsidR="006777FD" w:rsidRDefault="006777FD">
      <w:pPr>
        <w:pStyle w:val="a3"/>
        <w:jc w:val="center"/>
      </w:pPr>
      <w:r>
        <w:rPr>
          <w:rStyle w:val="a4"/>
        </w:rPr>
        <w:t xml:space="preserve">План мероприятий </w:t>
      </w:r>
    </w:p>
    <w:p w:rsidR="006777FD" w:rsidRDefault="006777FD">
      <w:pPr>
        <w:pStyle w:val="a3"/>
        <w:jc w:val="center"/>
      </w:pPr>
      <w:r>
        <w:rPr>
          <w:rStyle w:val="a4"/>
        </w:rPr>
        <w:t>программы развития деятельности студенческих объединений</w:t>
      </w:r>
    </w:p>
    <w:p w:rsidR="006777FD" w:rsidRDefault="006777FD">
      <w:pPr>
        <w:pStyle w:val="a3"/>
        <w:jc w:val="center"/>
        <w:rPr>
          <w:rStyle w:val="a4"/>
        </w:rPr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</w:t>
      </w:r>
    </w:p>
    <w:p w:rsidR="006777FD" w:rsidRDefault="006777FD">
      <w:pPr>
        <w:pStyle w:val="a3"/>
        <w:jc w:val="center"/>
      </w:pPr>
      <w:r>
        <w:rPr>
          <w:b/>
          <w:bCs/>
        </w:rPr>
        <w:t> 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9"/>
        <w:gridCol w:w="1258"/>
        <w:gridCol w:w="949"/>
        <w:gridCol w:w="1051"/>
        <w:gridCol w:w="983"/>
        <w:gridCol w:w="1157"/>
        <w:gridCol w:w="855"/>
        <w:gridCol w:w="929"/>
        <w:gridCol w:w="1028"/>
      </w:tblGrid>
      <w:tr w:rsidR="006777FD" w:rsidTr="006777FD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Направление / Мероприятие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Уровень мероприятия 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Объем финансирования на 2016 г.,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Период реализации, </w:t>
            </w:r>
            <w:proofErr w:type="spellStart"/>
            <w:r>
              <w:rPr>
                <w:rStyle w:val="a4"/>
              </w:rPr>
              <w:t>дд.мм.гггг</w:t>
            </w:r>
            <w:proofErr w:type="spellEnd"/>
            <w:r>
              <w:rPr>
                <w:rStyle w:val="a4"/>
              </w:rPr>
              <w:t xml:space="preserve">. – </w:t>
            </w:r>
            <w:proofErr w:type="spellStart"/>
            <w:r>
              <w:rPr>
                <w:rStyle w:val="a4"/>
              </w:rPr>
              <w:t>дд.мм.гггг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Показатели масштаба Программы</w:t>
            </w:r>
          </w:p>
        </w:tc>
      </w:tr>
      <w:tr w:rsidR="006777FD" w:rsidTr="006777FD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6777FD" w:rsidRDefault="006777F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Масштаб</w:t>
            </w:r>
            <w:r>
              <w:rPr>
                <w:b/>
                <w:bCs/>
              </w:rPr>
              <w:br/>
              <w:t xml:space="preserve">(международный, всероссийский, межрегиональный, региональный (районный, городской), </w:t>
            </w:r>
            <w:proofErr w:type="spellStart"/>
            <w:r>
              <w:rPr>
                <w:b/>
                <w:bCs/>
              </w:rPr>
              <w:t>внутривузовский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Совместно с </w:t>
            </w:r>
            <w:proofErr w:type="spellStart"/>
            <w:r>
              <w:rPr>
                <w:rStyle w:val="a4"/>
              </w:rPr>
              <w:t>Минобрнауки</w:t>
            </w:r>
            <w:proofErr w:type="spellEnd"/>
            <w:r>
              <w:rPr>
                <w:rStyle w:val="a4"/>
              </w:rPr>
              <w:t xml:space="preserve"> и/или Федеральным агентством по делам молодежи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Объем запрашиваемой субсидии,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руб.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Объем собственных и привлеченных средств,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руб.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Общий объем финансирования, руб.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6777FD" w:rsidRDefault="006777F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Количество мероприятий (акций, событий), ед.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Количество участников из числа обучающихся, чел.</w:t>
            </w:r>
          </w:p>
        </w:tc>
      </w:tr>
      <w:tr w:rsidR="006777FD" w:rsidTr="006777FD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</w:pPr>
            <w:r w:rsidRPr="001456AC">
              <w:rPr>
                <w:b/>
                <w:bCs/>
              </w:rPr>
              <w:t>Культура и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D14BD9">
            <w:pPr>
              <w:pStyle w:val="a3"/>
              <w:jc w:val="center"/>
            </w:pPr>
            <w:r w:rsidRPr="001456AC">
              <w:t>3 300 000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13 050 000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16 350 000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01.01.2016 - 30.12.2016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1456AC">
            <w:pPr>
              <w:pStyle w:val="a3"/>
              <w:jc w:val="center"/>
            </w:pPr>
            <w:r w:rsidRPr="005E4505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16660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</w:pPr>
            <w:r w:rsidRPr="001456AC">
              <w:rPr>
                <w:b/>
                <w:bCs/>
              </w:rPr>
              <w:t>3.1 День химика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с иными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8 700 000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8 700 000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23.05.2016 - 28.05.2016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5E4505" w:rsidRDefault="001456AC" w:rsidP="006777FD">
            <w:pPr>
              <w:pStyle w:val="a3"/>
              <w:jc w:val="center"/>
            </w:pPr>
            <w:r w:rsidRPr="005E450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3500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</w:pPr>
            <w:r w:rsidRPr="001456AC">
              <w:rPr>
                <w:b/>
                <w:bCs/>
              </w:rPr>
              <w:t>3.2 Путь к успеху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1 200 000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1 200 000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08.10.2016 - 15.11.2016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5E4505" w:rsidRDefault="00C97B27" w:rsidP="006777FD">
            <w:pPr>
              <w:pStyle w:val="a3"/>
              <w:jc w:val="center"/>
            </w:pPr>
            <w:r w:rsidRPr="005E450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1200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</w:pPr>
            <w:r w:rsidRPr="001456AC">
              <w:rPr>
                <w:b/>
                <w:bCs/>
              </w:rPr>
              <w:t>3.3 Республиканский фестиваль альтернативного творчества "Формула жизни"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D14BD9">
            <w:pPr>
              <w:pStyle w:val="a3"/>
              <w:jc w:val="center"/>
            </w:pPr>
            <w:r w:rsidRPr="001456AC">
              <w:t>5</w:t>
            </w:r>
            <w:r w:rsidR="006777FD" w:rsidRPr="001456AC">
              <w:t>00</w:t>
            </w:r>
            <w:r w:rsidR="00C97B27" w:rsidRPr="001456AC">
              <w:t xml:space="preserve"> </w:t>
            </w:r>
            <w:r w:rsidR="006777FD" w:rsidRPr="001456AC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400</w:t>
            </w:r>
            <w:r w:rsidR="00C97B27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9</w:t>
            </w:r>
            <w:r w:rsidR="006777FD">
              <w:t>00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10.09.2016 - 29.11.2016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6777FD">
            <w:pPr>
              <w:pStyle w:val="a3"/>
              <w:jc w:val="center"/>
            </w:pPr>
            <w:r w:rsidRPr="005E450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590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C97B27">
            <w:pPr>
              <w:pStyle w:val="a3"/>
            </w:pPr>
            <w:r w:rsidRPr="001456AC">
              <w:rPr>
                <w:b/>
                <w:bCs/>
              </w:rPr>
              <w:t>3.4</w:t>
            </w:r>
            <w:r w:rsidR="006777FD" w:rsidRPr="001456AC">
              <w:rPr>
                <w:b/>
                <w:bCs/>
              </w:rPr>
              <w:t xml:space="preserve"> Фестиваль «Осенний дебют»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proofErr w:type="spellStart"/>
            <w:r w:rsidRPr="001456AC">
              <w:t>Внутривузовский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C97B27">
            <w:pPr>
              <w:pStyle w:val="a3"/>
              <w:jc w:val="center"/>
            </w:pPr>
            <w:r w:rsidRPr="001456AC">
              <w:t>4</w:t>
            </w:r>
            <w:r w:rsidR="006777FD" w:rsidRPr="001456AC">
              <w:t>00</w:t>
            </w:r>
            <w:r w:rsidRPr="001456AC">
              <w:t xml:space="preserve"> </w:t>
            </w:r>
            <w:r w:rsidR="006777FD" w:rsidRPr="001456AC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150</w:t>
            </w:r>
            <w:r w:rsidR="00C97B27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5</w:t>
            </w:r>
            <w:r w:rsidR="006777FD">
              <w:t>50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01.10.2016 - 10.12.2016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6777FD">
            <w:pPr>
              <w:pStyle w:val="a3"/>
              <w:jc w:val="center"/>
            </w:pPr>
            <w:r w:rsidRPr="005E450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750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C97B27">
            <w:pPr>
              <w:pStyle w:val="a3"/>
            </w:pPr>
            <w:r w:rsidRPr="001456AC">
              <w:rPr>
                <w:b/>
                <w:bCs/>
              </w:rPr>
              <w:t>3.5</w:t>
            </w:r>
            <w:r w:rsidR="006777FD" w:rsidRPr="001456AC">
              <w:rPr>
                <w:b/>
                <w:bCs/>
              </w:rPr>
              <w:t xml:space="preserve"> Республиканская «Студенческая весна»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500</w:t>
            </w:r>
            <w:r w:rsidR="00C97B27" w:rsidRPr="001456AC">
              <w:t xml:space="preserve"> </w:t>
            </w:r>
            <w:r w:rsidRPr="001456AC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300</w:t>
            </w:r>
            <w:r w:rsidR="00C97B27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800</w:t>
            </w:r>
            <w:r w:rsidR="00D14BD9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01.03.2016 - 31.05.2016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6777FD">
            <w:pPr>
              <w:pStyle w:val="a3"/>
              <w:jc w:val="center"/>
            </w:pPr>
            <w:r w:rsidRPr="005E4505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2500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C97B27">
            <w:pPr>
              <w:pStyle w:val="a3"/>
            </w:pPr>
            <w:r w:rsidRPr="001456AC">
              <w:rPr>
                <w:b/>
                <w:bCs/>
              </w:rPr>
              <w:t>3.6</w:t>
            </w:r>
            <w:r w:rsidR="006777FD" w:rsidRPr="001456AC">
              <w:rPr>
                <w:b/>
                <w:bCs/>
              </w:rPr>
              <w:t xml:space="preserve"> Фестиваль студенческого интеллектуального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D14BD9">
            <w:pPr>
              <w:pStyle w:val="a3"/>
              <w:jc w:val="center"/>
            </w:pPr>
            <w:r w:rsidRPr="001456AC">
              <w:t>4</w:t>
            </w:r>
            <w:r w:rsidR="006777FD" w:rsidRPr="001456AC">
              <w:t>0</w:t>
            </w:r>
            <w:r w:rsidR="00C97B27" w:rsidRPr="001456AC">
              <w:t xml:space="preserve">0 </w:t>
            </w:r>
            <w:r w:rsidR="006777FD" w:rsidRPr="001456AC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300</w:t>
            </w:r>
            <w:r w:rsidR="00C97B27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70</w:t>
            </w:r>
            <w:r w:rsidR="006777FD">
              <w:t>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01.02.2016 - 25.12.2016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6777FD">
            <w:pPr>
              <w:pStyle w:val="a3"/>
              <w:jc w:val="center"/>
            </w:pPr>
            <w:r w:rsidRPr="005E4505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900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C97B27">
            <w:pPr>
              <w:pStyle w:val="a3"/>
            </w:pPr>
            <w:r w:rsidRPr="001456AC">
              <w:rPr>
                <w:b/>
                <w:bCs/>
              </w:rPr>
              <w:t>3.7</w:t>
            </w:r>
            <w:r w:rsidR="006777FD" w:rsidRPr="001456AC">
              <w:rPr>
                <w:b/>
                <w:bCs/>
              </w:rPr>
              <w:t xml:space="preserve"> Конкурс «Краса студенчества Республики Татарстан»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1</w:t>
            </w:r>
            <w:r w:rsidR="00C97B27" w:rsidRPr="001456AC">
              <w:t xml:space="preserve"> </w:t>
            </w:r>
            <w:r w:rsidRPr="001456AC">
              <w:t>500</w:t>
            </w:r>
            <w:r w:rsidR="00C97B27" w:rsidRPr="001456AC">
              <w:t xml:space="preserve"> </w:t>
            </w:r>
            <w:r w:rsidRPr="001456AC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</w:t>
            </w:r>
            <w:r w:rsidR="00D14BD9">
              <w:t xml:space="preserve"> </w:t>
            </w:r>
            <w:r>
              <w:t>500</w:t>
            </w:r>
            <w:r w:rsidR="00D14BD9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01.05.2016 - 01.11.2016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6777FD">
            <w:pPr>
              <w:pStyle w:val="a3"/>
              <w:jc w:val="center"/>
            </w:pPr>
            <w:r w:rsidRPr="005E450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1000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6777FD" w:rsidP="006777FD">
            <w:pPr>
              <w:pStyle w:val="a3"/>
            </w:pPr>
            <w:r w:rsidRPr="001456AC">
              <w:rPr>
                <w:b/>
                <w:bCs/>
              </w:rPr>
              <w:t>3.8</w:t>
            </w:r>
            <w:r w:rsidR="00C97B27" w:rsidRPr="001456AC">
              <w:rPr>
                <w:b/>
                <w:bCs/>
              </w:rPr>
              <w:t xml:space="preserve"> День Газпрома в КНИТУ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с иными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1456AC" w:rsidRDefault="00C97B27" w:rsidP="006777FD">
            <w:pPr>
              <w:pStyle w:val="a3"/>
              <w:jc w:val="center"/>
            </w:pPr>
            <w:r w:rsidRPr="001456A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02.05.2016 - 03.05.2016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Pr="005E4505" w:rsidRDefault="00C97B27" w:rsidP="006777FD">
            <w:pPr>
              <w:pStyle w:val="a3"/>
              <w:jc w:val="center"/>
            </w:pPr>
            <w:r w:rsidRPr="005E450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B27" w:rsidRDefault="00C97B27" w:rsidP="006777FD">
            <w:pPr>
              <w:pStyle w:val="a3"/>
              <w:jc w:val="center"/>
            </w:pPr>
            <w:r>
              <w:t>1500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</w:pPr>
            <w:r w:rsidRPr="001456AC">
              <w:rPr>
                <w:b/>
                <w:bCs/>
              </w:rPr>
              <w:t>Студенческий спорт и 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D14BD9">
            <w:pPr>
              <w:pStyle w:val="a3"/>
              <w:jc w:val="center"/>
            </w:pPr>
            <w:r w:rsidRPr="001456AC">
              <w:t>2 500 000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250 000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2 550 000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01.01.2016 - 25.12.2016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1456AC">
            <w:pPr>
              <w:pStyle w:val="a3"/>
              <w:jc w:val="center"/>
            </w:pPr>
            <w:r w:rsidRPr="005E4505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4650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937E26">
            <w:pPr>
              <w:pStyle w:val="a3"/>
            </w:pPr>
            <w:r>
              <w:rPr>
                <w:b/>
                <w:bCs/>
              </w:rPr>
              <w:t>4.1</w:t>
            </w:r>
            <w:r w:rsidR="006777FD" w:rsidRPr="001456AC">
              <w:rPr>
                <w:b/>
                <w:bCs/>
              </w:rPr>
              <w:t xml:space="preserve"> «Неделя здорового образа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proofErr w:type="spellStart"/>
            <w:r w:rsidRPr="001456AC">
              <w:t>Внутривузовский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D14BD9">
            <w:pPr>
              <w:pStyle w:val="a3"/>
              <w:jc w:val="center"/>
            </w:pPr>
            <w:r w:rsidRPr="001456AC">
              <w:t>5</w:t>
            </w:r>
            <w:r w:rsidR="006777FD" w:rsidRPr="001456AC">
              <w:t>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2</w:t>
            </w:r>
            <w:r w:rsidR="006777FD">
              <w:t>50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750 000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13.04.2016 - 18.04.2016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6777FD">
            <w:pPr>
              <w:pStyle w:val="a3"/>
              <w:jc w:val="center"/>
            </w:pPr>
            <w:r w:rsidRPr="005E4505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2000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937E26">
            <w:pPr>
              <w:pStyle w:val="a3"/>
            </w:pPr>
            <w:r>
              <w:rPr>
                <w:b/>
                <w:bCs/>
              </w:rPr>
              <w:t>4.2</w:t>
            </w:r>
            <w:r w:rsidR="006777FD" w:rsidRPr="001456AC">
              <w:rPr>
                <w:b/>
                <w:bCs/>
              </w:rPr>
              <w:t xml:space="preserve"> «Всероссийский фестиваль по черлидингу»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Всероссийский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C97B27">
            <w:pPr>
              <w:pStyle w:val="a3"/>
              <w:jc w:val="center"/>
            </w:pPr>
            <w:r w:rsidRPr="001456AC">
              <w:t xml:space="preserve">2 </w:t>
            </w:r>
            <w:r w:rsidR="006777FD" w:rsidRPr="001456AC">
              <w:t>000</w:t>
            </w:r>
            <w:r w:rsidRPr="001456AC">
              <w:t xml:space="preserve"> </w:t>
            </w:r>
            <w:proofErr w:type="spellStart"/>
            <w:r w:rsidR="006777FD" w:rsidRPr="001456AC"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 xml:space="preserve">2 </w:t>
            </w:r>
            <w:r w:rsidR="006777FD">
              <w:t>000</w:t>
            </w:r>
            <w:r>
              <w:t xml:space="preserve"> </w:t>
            </w:r>
            <w:proofErr w:type="spellStart"/>
            <w:r w:rsidR="006777FD"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01.10.2016 - 01.12.2016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6777FD">
            <w:pPr>
              <w:pStyle w:val="a3"/>
              <w:jc w:val="center"/>
            </w:pPr>
            <w:r w:rsidRPr="005E450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1000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</w:pPr>
            <w:r w:rsidRPr="001456AC">
              <w:rPr>
                <w:b/>
                <w:bCs/>
              </w:rPr>
              <w:t>Социальные стандарты и права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D14BD9">
            <w:pPr>
              <w:pStyle w:val="a3"/>
              <w:jc w:val="center"/>
            </w:pPr>
            <w:r w:rsidRPr="001456AC">
              <w:t>6 800 000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3 350 000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10 150 000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01.01.2016 - 30.12.2016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5E4505" w:rsidRDefault="001456AC">
            <w:pPr>
              <w:pStyle w:val="a3"/>
              <w:jc w:val="center"/>
            </w:pPr>
            <w:r w:rsidRPr="005E4505"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9814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</w:pPr>
            <w:r w:rsidRPr="001456AC">
              <w:rPr>
                <w:b/>
                <w:bCs/>
              </w:rPr>
              <w:t>10.1 "Всероссийский форум СПО"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Всероссийский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6777FD">
            <w:pPr>
              <w:pStyle w:val="a3"/>
              <w:jc w:val="center"/>
            </w:pPr>
            <w:r w:rsidRPr="001456AC">
              <w:t>с иными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Pr="001456AC" w:rsidRDefault="00C97B27">
            <w:pPr>
              <w:pStyle w:val="a3"/>
              <w:jc w:val="center"/>
            </w:pPr>
            <w:r w:rsidRPr="001456AC">
              <w:t xml:space="preserve">5 </w:t>
            </w:r>
            <w:r w:rsidR="006777FD" w:rsidRPr="001456AC">
              <w:t>000</w:t>
            </w:r>
            <w:r w:rsidRPr="001456AC">
              <w:t xml:space="preserve"> </w:t>
            </w:r>
            <w:proofErr w:type="spellStart"/>
            <w:r w:rsidR="006777FD" w:rsidRPr="001456AC"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 xml:space="preserve">5 </w:t>
            </w:r>
            <w:r w:rsidR="006777FD">
              <w:t>000</w:t>
            </w:r>
            <w:r>
              <w:t xml:space="preserve"> </w:t>
            </w:r>
            <w:proofErr w:type="spellStart"/>
            <w:r w:rsidR="006777FD"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15.10.2016 - 30.11.2016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2000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937E26">
            <w:pPr>
              <w:pStyle w:val="a3"/>
            </w:pPr>
            <w:r>
              <w:rPr>
                <w:b/>
                <w:bCs/>
              </w:rPr>
              <w:t>10.2</w:t>
            </w:r>
            <w:r w:rsidR="006777FD">
              <w:rPr>
                <w:b/>
                <w:bCs/>
              </w:rPr>
              <w:t xml:space="preserve"> «Фестиваль ДАС»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400 000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150</w:t>
            </w:r>
            <w:r w:rsidR="00D14BD9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5</w:t>
            </w:r>
            <w:r w:rsidR="006777FD">
              <w:t>50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15.11.2016 - 30.11.2016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937E26">
            <w:pPr>
              <w:pStyle w:val="a3"/>
            </w:pPr>
            <w:r>
              <w:rPr>
                <w:b/>
                <w:bCs/>
              </w:rPr>
              <w:t>10.3</w:t>
            </w:r>
            <w:r w:rsidR="006777FD">
              <w:rPr>
                <w:b/>
                <w:bCs/>
              </w:rPr>
              <w:t xml:space="preserve"> Республиканская школа «Стипендиальное обеспечение»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500</w:t>
            </w:r>
            <w:r w:rsidR="00D14BD9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</w:t>
            </w:r>
            <w:r w:rsidR="00D14BD9">
              <w:t xml:space="preserve"> </w:t>
            </w:r>
            <w:r>
              <w:t>000</w:t>
            </w:r>
            <w:r w:rsidR="00D14BD9">
              <w:t xml:space="preserve"> </w:t>
            </w:r>
            <w:proofErr w:type="spellStart"/>
            <w: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01.03.2016 - 31.10.2016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937E26">
            <w:pPr>
              <w:pStyle w:val="a3"/>
            </w:pPr>
            <w:r>
              <w:rPr>
                <w:b/>
                <w:bCs/>
              </w:rPr>
              <w:t>10.4</w:t>
            </w:r>
            <w:r w:rsidR="006777FD">
              <w:rPr>
                <w:b/>
                <w:bCs/>
              </w:rPr>
              <w:t xml:space="preserve"> Круглогодичная межвузовская школа профсоюзного актива «Поколение 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400 000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200</w:t>
            </w:r>
            <w:r w:rsidR="00D14BD9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6</w:t>
            </w:r>
            <w:r w:rsidR="006777FD">
              <w:t>00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01.02.2016 - 30.12.2016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250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937E26">
            <w:pPr>
              <w:pStyle w:val="a3"/>
            </w:pPr>
            <w:r>
              <w:rPr>
                <w:b/>
                <w:bCs/>
              </w:rPr>
              <w:t>10.5</w:t>
            </w:r>
            <w:r w:rsidR="006777FD">
              <w:rPr>
                <w:b/>
                <w:bCs/>
              </w:rPr>
              <w:t xml:space="preserve"> Круглогодичные школы студенческого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с 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500 000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</w:t>
            </w:r>
            <w:r w:rsidR="00D14BD9">
              <w:t xml:space="preserve"> </w:t>
            </w:r>
            <w:r>
              <w:t>500</w:t>
            </w:r>
            <w:r w:rsidR="00D14BD9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</w:t>
            </w:r>
            <w:r w:rsidR="00D14BD9">
              <w:t xml:space="preserve"> </w:t>
            </w:r>
            <w:r>
              <w:t>000</w:t>
            </w:r>
            <w:r w:rsidR="00D14BD9">
              <w:t xml:space="preserve"> </w:t>
            </w:r>
            <w:proofErr w:type="spellStart"/>
            <w: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01.02.2016 - 20.12.2016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300</w:t>
            </w:r>
          </w:p>
        </w:tc>
      </w:tr>
      <w:tr w:rsidR="006777FD" w:rsidTr="006777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C97B27">
            <w:pPr>
              <w:pStyle w:val="a3"/>
              <w:jc w:val="center"/>
            </w:pPr>
            <w:r>
              <w:t>12 600 000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16 650 000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D14BD9">
            <w:pPr>
              <w:pStyle w:val="a3"/>
              <w:jc w:val="center"/>
            </w:pPr>
            <w:r>
              <w:t>29 250 000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01.01.2016 - 31.12.2016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5E4505">
            <w:pPr>
              <w:pStyle w:val="a3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7FD" w:rsidRDefault="005E4505">
            <w:pPr>
              <w:pStyle w:val="a3"/>
              <w:jc w:val="center"/>
            </w:pPr>
            <w:r>
              <w:t>50 314</w:t>
            </w:r>
          </w:p>
        </w:tc>
      </w:tr>
    </w:tbl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6777FD" w:rsidRDefault="006777FD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>Ректор    ___________________ Г.С. Дьяконов</w:t>
      </w:r>
    </w:p>
    <w:p w:rsidR="006777FD" w:rsidRDefault="006777FD">
      <w:pPr>
        <w:pStyle w:val="a3"/>
        <w:spacing w:after="0" w:afterAutospacing="0"/>
        <w:rPr>
          <w:b/>
          <w:bCs/>
        </w:rPr>
      </w:pPr>
    </w:p>
    <w:p w:rsidR="006777FD" w:rsidRDefault="006777FD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>М.П. (Подпись)</w:t>
      </w:r>
    </w:p>
    <w:p w:rsidR="006777FD" w:rsidRDefault="006777FD">
      <w:pPr>
        <w:pStyle w:val="a3"/>
        <w:spacing w:after="240" w:afterAutospacing="0"/>
        <w:rPr>
          <w:b/>
          <w:bCs/>
        </w:rPr>
      </w:pPr>
    </w:p>
    <w:p w:rsidR="006777FD" w:rsidRDefault="006777FD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Руководитель Совета     ___________________ Л.Р. </w:t>
      </w:r>
      <w:proofErr w:type="spellStart"/>
      <w:r>
        <w:rPr>
          <w:b/>
          <w:bCs/>
        </w:rPr>
        <w:t>Диярова</w:t>
      </w:r>
      <w:proofErr w:type="spellEnd"/>
    </w:p>
    <w:p w:rsidR="006777FD" w:rsidRDefault="006777FD">
      <w:pPr>
        <w:pStyle w:val="a3"/>
        <w:spacing w:after="0" w:afterAutospacing="0"/>
        <w:rPr>
          <w:b/>
          <w:bCs/>
        </w:rPr>
      </w:pPr>
    </w:p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М.П. (Подпись)</w:t>
      </w:r>
    </w:p>
    <w:p w:rsidR="006777FD" w:rsidRDefault="006777FD">
      <w:pPr>
        <w:pStyle w:val="a3"/>
        <w:pageBreakBefore/>
        <w:jc w:val="right"/>
        <w:rPr>
          <w:b/>
          <w:bCs/>
        </w:rPr>
      </w:pPr>
      <w:r>
        <w:rPr>
          <w:rStyle w:val="a4"/>
        </w:rPr>
        <w:t>Приложение № 2</w:t>
      </w:r>
    </w:p>
    <w:p w:rsidR="006777FD" w:rsidRDefault="006777FD">
      <w:pPr>
        <w:pStyle w:val="a3"/>
        <w:jc w:val="right"/>
        <w:rPr>
          <w:b/>
          <w:bCs/>
        </w:rPr>
      </w:pPr>
      <w:r>
        <w:rPr>
          <w:rStyle w:val="a4"/>
        </w:rPr>
        <w:t>к Программе развития деятельности студенческих объединений</w:t>
      </w:r>
    </w:p>
    <w:p w:rsidR="006777FD" w:rsidRDefault="006777FD">
      <w:pPr>
        <w:pStyle w:val="a3"/>
        <w:jc w:val="right"/>
        <w:rPr>
          <w:b/>
          <w:bCs/>
        </w:rPr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777FD" w:rsidRDefault="006777FD">
      <w:pPr>
        <w:pStyle w:val="a3"/>
        <w:jc w:val="right"/>
        <w:rPr>
          <w:b/>
          <w:bCs/>
        </w:rPr>
      </w:pPr>
      <w:r>
        <w:rPr>
          <w:rStyle w:val="a4"/>
        </w:rPr>
        <w:t>на 2016 год</w:t>
      </w:r>
    </w:p>
    <w:p w:rsidR="006777FD" w:rsidRDefault="006777FD">
      <w:pPr>
        <w:pStyle w:val="a3"/>
        <w:jc w:val="right"/>
        <w:rPr>
          <w:b/>
          <w:bCs/>
        </w:rPr>
      </w:pPr>
      <w:r>
        <w:rPr>
          <w:b/>
          <w:bCs/>
        </w:rPr>
        <w:t> </w:t>
      </w:r>
    </w:p>
    <w:p w:rsidR="006777FD" w:rsidRDefault="006777FD">
      <w:pPr>
        <w:pStyle w:val="a3"/>
        <w:jc w:val="center"/>
        <w:rPr>
          <w:b/>
          <w:bCs/>
        </w:rPr>
      </w:pPr>
      <w:r>
        <w:rPr>
          <w:rStyle w:val="a4"/>
        </w:rPr>
        <w:t>Обоснование расходов по Программе развития деятельности студенческих объединений</w:t>
      </w:r>
    </w:p>
    <w:p w:rsidR="006777FD" w:rsidRDefault="006777FD">
      <w:pPr>
        <w:pStyle w:val="a3"/>
        <w:jc w:val="center"/>
        <w:rPr>
          <w:b/>
          <w:bCs/>
        </w:rPr>
      </w:pPr>
      <w:r>
        <w:rPr>
          <w:rStyle w:val="a4"/>
        </w:rPr>
        <w:t>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на 2016 год</w:t>
      </w:r>
    </w:p>
    <w:p w:rsidR="006777FD" w:rsidRDefault="006777FD">
      <w:pPr>
        <w:pStyle w:val="a3"/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63"/>
        <w:gridCol w:w="1721"/>
        <w:gridCol w:w="1576"/>
        <w:gridCol w:w="3849"/>
      </w:tblGrid>
      <w:tr w:rsidR="00994B49" w:rsidTr="00BF5F39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Общая сумма планируемых расходов на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2016 г.,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Период реализации, </w:t>
            </w:r>
            <w:proofErr w:type="spellStart"/>
            <w:r>
              <w:rPr>
                <w:rStyle w:val="a4"/>
              </w:rPr>
              <w:t>дд.мм.гггг</w:t>
            </w:r>
            <w:proofErr w:type="spellEnd"/>
            <w:r>
              <w:rPr>
                <w:rStyle w:val="a4"/>
              </w:rPr>
              <w:t xml:space="preserve">. – </w:t>
            </w:r>
            <w:proofErr w:type="spellStart"/>
            <w:r>
              <w:rPr>
                <w:rStyle w:val="a4"/>
              </w:rPr>
              <w:t>дд.мм.гггг</w:t>
            </w:r>
            <w:proofErr w:type="spellEnd"/>
            <w:r>
              <w:rPr>
                <w:rStyle w:val="a4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Обоснование суммы расходов по мероприятиям Программы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86F0B" w:rsidTr="00BF5F3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D86F0B">
            <w:pPr>
              <w:pStyle w:val="a3"/>
              <w:rPr>
                <w:b/>
                <w:bCs/>
              </w:rPr>
            </w:pPr>
            <w:r>
              <w:t>3. Культура и творчество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777FD" w:rsidRDefault="006777F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7FD" w:rsidRDefault="00677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77FD" w:rsidRDefault="00677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77FD" w:rsidRDefault="00677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3.1</w:t>
            </w:r>
            <w:r>
              <w:t xml:space="preserve"> День химика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8</w:t>
            </w:r>
            <w:r w:rsidR="00CA37E3">
              <w:t xml:space="preserve"> </w:t>
            </w:r>
            <w:r>
              <w:t>700</w:t>
            </w:r>
            <w:r w:rsidR="00CA37E3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23.05.2016 - 28.05.2016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 xml:space="preserve">Аренда концертного зала и вспомогательных помещений 650 000, руб. Организация </w:t>
            </w:r>
            <w:proofErr w:type="spellStart"/>
            <w:r>
              <w:t>трансфера</w:t>
            </w:r>
            <w:proofErr w:type="spellEnd"/>
            <w:r>
              <w:t xml:space="preserve"> участников и рабочей группы 500 000 руб., привлечение специалистов (артисты, </w:t>
            </w:r>
            <w:proofErr w:type="spellStart"/>
            <w:r>
              <w:t>видеооператоры</w:t>
            </w:r>
            <w:proofErr w:type="spellEnd"/>
            <w:r>
              <w:t xml:space="preserve">, режиссерско-постановочная группа, ведущие, тех. Группа, </w:t>
            </w:r>
            <w:proofErr w:type="spellStart"/>
            <w:r>
              <w:t>светооператоры</w:t>
            </w:r>
            <w:proofErr w:type="spellEnd"/>
            <w:r>
              <w:t xml:space="preserve">, </w:t>
            </w:r>
            <w:proofErr w:type="spellStart"/>
            <w:r>
              <w:t>видеомонтажеры</w:t>
            </w:r>
            <w:proofErr w:type="spellEnd"/>
            <w:r>
              <w:t xml:space="preserve">, звукооператоры)1 500 000 руб., аренда оборудования 1 500 000 руб., запись фонограмм 100 000 руб., постановка массовых номеров 500 000 руб., разработка сценария и программы 300 000 </w:t>
            </w:r>
            <w:proofErr w:type="spellStart"/>
            <w:r>
              <w:t>руб</w:t>
            </w:r>
            <w:proofErr w:type="spellEnd"/>
            <w:r>
              <w:t xml:space="preserve">, проживание участников и артистов - 800 000 </w:t>
            </w:r>
            <w:proofErr w:type="spellStart"/>
            <w:r>
              <w:t>руб</w:t>
            </w:r>
            <w:proofErr w:type="spellEnd"/>
          </w:p>
        </w:tc>
      </w:tr>
      <w:tr w:rsidR="009E7230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3</w:t>
            </w:r>
            <w:r>
              <w:t>.2</w:t>
            </w:r>
            <w:r>
              <w:t xml:space="preserve"> Путь к успеху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1</w:t>
            </w:r>
            <w:r w:rsidR="00CA37E3">
              <w:t xml:space="preserve"> </w:t>
            </w:r>
            <w:r>
              <w:t>200</w:t>
            </w:r>
            <w:r w:rsidR="00CA37E3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08.10.2016 - 15.11.2016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 xml:space="preserve">Аренда зала 400000 руб., аренда оборудования 250000 руб., изготовление полиграфической продукции 200000 руб., аренда костюмов 70000, разработка сценария и программы 80000 руб. Приглашение СМИ для участия в мероприятии, организация видео- и фотосъемки 100 000 руб. </w:t>
            </w:r>
            <w:proofErr w:type="spellStart"/>
            <w:r>
              <w:t>Трансфер</w:t>
            </w:r>
            <w:proofErr w:type="spellEnd"/>
            <w:r>
              <w:t xml:space="preserve"> участников 100 000 руб.</w:t>
            </w:r>
          </w:p>
        </w:tc>
      </w:tr>
      <w:tr w:rsidR="009E7230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3.3 Республиканский фестиваль альтернативного творчества "Формула жизни"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CA37E3" w:rsidP="006939C1">
            <w:pPr>
              <w:pStyle w:val="a3"/>
              <w:jc w:val="center"/>
            </w:pPr>
            <w:r>
              <w:t>9</w:t>
            </w:r>
            <w:r w:rsidR="00D86F0B">
              <w:t>00</w:t>
            </w:r>
            <w:r>
              <w:t xml:space="preserve"> </w:t>
            </w:r>
            <w:r w:rsidR="00D86F0B"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10.09.2016 - 29.11.2016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Организация питания – 60 000 руб., изготовление полиграфии и сувенирной продукции – 120 000 руб., подарки победителям и призерам – 160 000 руб., судьи, приглашенные гости, тренера мастер-классов - 190 000 руб., аренд</w:t>
            </w:r>
            <w:r w:rsidR="00CA37E3">
              <w:t>а площадки и аппаратуры – 3</w:t>
            </w:r>
            <w:r>
              <w:t>50 000 руб., аренда кареты скорой помощи – 15</w:t>
            </w:r>
            <w:r w:rsidR="00CA37E3">
              <w:t xml:space="preserve"> </w:t>
            </w:r>
            <w:r>
              <w:t xml:space="preserve">000 руб., вода – 5000 </w:t>
            </w:r>
            <w:proofErr w:type="spellStart"/>
            <w:r>
              <w:t>руб</w:t>
            </w:r>
            <w:proofErr w:type="spellEnd"/>
          </w:p>
        </w:tc>
      </w:tr>
      <w:tr w:rsidR="00472D90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3.4</w:t>
            </w:r>
            <w:r>
              <w:t xml:space="preserve"> Фестиваль «Осенний дебют»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CA37E3" w:rsidP="006939C1">
            <w:pPr>
              <w:pStyle w:val="a3"/>
              <w:jc w:val="center"/>
            </w:pPr>
            <w:r>
              <w:t>5</w:t>
            </w:r>
            <w:r w:rsidR="00D86F0B">
              <w:t>50</w:t>
            </w:r>
            <w:r>
              <w:t xml:space="preserve"> </w:t>
            </w:r>
            <w:r w:rsidR="00D86F0B"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01.10.2016 - 10.12.2016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 xml:space="preserve">Привлечение специалистов (артисты, </w:t>
            </w:r>
            <w:proofErr w:type="spellStart"/>
            <w:r>
              <w:t>видеооператоры</w:t>
            </w:r>
            <w:proofErr w:type="spellEnd"/>
            <w:r>
              <w:t xml:space="preserve">, режиссерско-постановочная группа, ведущие, тех. Группа, </w:t>
            </w:r>
            <w:proofErr w:type="spellStart"/>
            <w:r>
              <w:t>светооператоры</w:t>
            </w:r>
            <w:proofErr w:type="spellEnd"/>
            <w:r>
              <w:t xml:space="preserve">, </w:t>
            </w:r>
            <w:proofErr w:type="spellStart"/>
            <w:r>
              <w:t>видеомонтажеры</w:t>
            </w:r>
            <w:proofErr w:type="spellEnd"/>
            <w:r>
              <w:t xml:space="preserve">, звукооператоры) 300 000 руб., аренда оборудования 50 000 руб., изготовление полиграфической </w:t>
            </w:r>
            <w:proofErr w:type="spellStart"/>
            <w:r>
              <w:t>продукции,брендовой</w:t>
            </w:r>
            <w:proofErr w:type="spellEnd"/>
            <w:r>
              <w:t xml:space="preserve"> подарочной продукции 50 000 руб., 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3.5</w:t>
            </w:r>
            <w:r>
              <w:t xml:space="preserve"> Республиканская «Студенческая весна»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800</w:t>
            </w:r>
            <w:r w:rsidR="00CA37E3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01.03.2016 - 31.05.2016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Аренда концертного зала 300 000 руб., разработка программы и сценария 60 000 руб., услуги привлеченных специалистов (</w:t>
            </w:r>
            <w:proofErr w:type="spellStart"/>
            <w:r>
              <w:t>видеооператоры</w:t>
            </w:r>
            <w:proofErr w:type="spellEnd"/>
            <w:r>
              <w:t xml:space="preserve">, режиссерско-постановочная группа, преподаватели, тех. группа, </w:t>
            </w:r>
            <w:proofErr w:type="spellStart"/>
            <w:r>
              <w:t>светооператоры</w:t>
            </w:r>
            <w:proofErr w:type="spellEnd"/>
            <w:r>
              <w:t xml:space="preserve">, </w:t>
            </w:r>
            <w:proofErr w:type="spellStart"/>
            <w:r>
              <w:t>видеомонтажеры</w:t>
            </w:r>
            <w:proofErr w:type="spellEnd"/>
            <w:r>
              <w:t>, звукооператоры) 140 000 руб., , изготовление полиграфической продукции 50 000 руб., освещение в СМИ 50 000 руб., аренда оборудования 150 000 руб., подарки победителям - 50000 руб.,</w:t>
            </w:r>
          </w:p>
        </w:tc>
      </w:tr>
      <w:tr w:rsidR="009E7230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3.6</w:t>
            </w:r>
            <w:r>
              <w:t xml:space="preserve"> Фестиваль студенческого интеллектуального творчества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CA37E3" w:rsidP="006939C1">
            <w:pPr>
              <w:pStyle w:val="a3"/>
              <w:jc w:val="center"/>
            </w:pPr>
            <w:r>
              <w:t>70</w:t>
            </w:r>
            <w:r w:rsidR="00D86F0B">
              <w:t>0</w:t>
            </w:r>
            <w:r>
              <w:t xml:space="preserve"> </w:t>
            </w:r>
            <w:r w:rsidR="00D86F0B"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01.02.2016 - 25.12.2016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86F0B" w:rsidRDefault="00240883" w:rsidP="006939C1">
            <w:pPr>
              <w:pStyle w:val="a3"/>
            </w:pPr>
            <w:r>
              <w:t>Аренда зала 18</w:t>
            </w:r>
            <w:r w:rsidR="00D86F0B">
              <w:t xml:space="preserve">0 000 руб., изготовление полиграфии </w:t>
            </w:r>
            <w:r>
              <w:t>1</w:t>
            </w:r>
            <w:r w:rsidR="00D86F0B">
              <w:t>30 000 руб., изготовление кубков и статуэток - 120 000 руб., подарки победи</w:t>
            </w:r>
            <w:r>
              <w:t xml:space="preserve">телям и кондитерские изделия - 270 000 </w:t>
            </w:r>
            <w:proofErr w:type="spellStart"/>
            <w:r>
              <w:t>руб</w:t>
            </w:r>
            <w:proofErr w:type="spellEnd"/>
            <w:r>
              <w:t>, аренда оборудования 10</w:t>
            </w:r>
            <w:r>
              <w:t>0</w:t>
            </w:r>
            <w:r>
              <w:t xml:space="preserve"> </w:t>
            </w:r>
            <w:r>
              <w:t xml:space="preserve">000 </w:t>
            </w:r>
            <w:proofErr w:type="spellStart"/>
            <w:r>
              <w:t>руб</w:t>
            </w:r>
            <w:proofErr w:type="spellEnd"/>
          </w:p>
        </w:tc>
      </w:tr>
      <w:tr w:rsidR="009E7230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>3.7</w:t>
            </w:r>
            <w:r>
              <w:t xml:space="preserve"> Конкурс «Краса студенчества Республики Татарстан»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1</w:t>
            </w:r>
            <w:r w:rsidR="00CA37E3">
              <w:t xml:space="preserve"> </w:t>
            </w:r>
            <w:r>
              <w:t>500</w:t>
            </w:r>
            <w:r w:rsidR="00CA37E3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D86F0B" w:rsidRDefault="00D86F0B" w:rsidP="006939C1">
            <w:pPr>
              <w:pStyle w:val="a3"/>
              <w:jc w:val="center"/>
            </w:pPr>
            <w:r>
              <w:t>01.05.2016 - 01.11.2016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86F0B" w:rsidRDefault="00D86F0B" w:rsidP="006939C1">
            <w:pPr>
              <w:pStyle w:val="a3"/>
            </w:pPr>
            <w:r>
              <w:t xml:space="preserve">Аренда зала 300 000 руб., аренда оборудования 500 000 руб., изготовление полиграфической и </w:t>
            </w:r>
            <w:proofErr w:type="spellStart"/>
            <w:r>
              <w:t>сувернирной</w:t>
            </w:r>
            <w:proofErr w:type="spellEnd"/>
            <w:r>
              <w:t xml:space="preserve"> продукции 100 000 руб., слуги привлеченных специалистов (</w:t>
            </w:r>
            <w:proofErr w:type="spellStart"/>
            <w:r>
              <w:t>видеооператоры</w:t>
            </w:r>
            <w:proofErr w:type="spellEnd"/>
            <w:r>
              <w:t xml:space="preserve">, режиссерско-постановочная группа, тех. группа, </w:t>
            </w:r>
            <w:proofErr w:type="spellStart"/>
            <w:r>
              <w:t>светооператоры</w:t>
            </w:r>
            <w:proofErr w:type="spellEnd"/>
            <w:r>
              <w:t xml:space="preserve">, </w:t>
            </w:r>
            <w:proofErr w:type="spellStart"/>
            <w:r>
              <w:t>видеомонтажеры</w:t>
            </w:r>
            <w:proofErr w:type="spellEnd"/>
            <w:r>
              <w:t>, звукооператоры) 500 000, разработка сценария и программы 100 000 руб.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D86F0B">
            <w:pPr>
              <w:pStyle w:val="a3"/>
            </w:pPr>
            <w:r>
              <w:t>3.8</w:t>
            </w:r>
            <w:r w:rsidR="006777FD">
              <w:t xml:space="preserve"> День Газпрома в КНИТУ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2</w:t>
            </w:r>
            <w:r w:rsidR="00CA37E3">
              <w:t xml:space="preserve"> </w:t>
            </w:r>
            <w:r>
              <w:t>000</w:t>
            </w:r>
            <w:r w:rsidR="00CA37E3">
              <w:t xml:space="preserve"> </w:t>
            </w:r>
            <w:proofErr w:type="spellStart"/>
            <w: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02.05.2016 - 03.05.2016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 xml:space="preserve">организация питание участников 200 000 </w:t>
            </w:r>
            <w:proofErr w:type="spellStart"/>
            <w:r>
              <w:t>руб.,привлечение</w:t>
            </w:r>
            <w:proofErr w:type="spellEnd"/>
            <w:r>
              <w:t xml:space="preserve"> специалистов (артисты, </w:t>
            </w:r>
            <w:proofErr w:type="spellStart"/>
            <w:r>
              <w:t>видеооператоры</w:t>
            </w:r>
            <w:proofErr w:type="spellEnd"/>
            <w:r>
              <w:t xml:space="preserve">, режиссерско-постановочная группа, ведущие, тех. группа, </w:t>
            </w:r>
            <w:proofErr w:type="spellStart"/>
            <w:r>
              <w:t>светооператоры</w:t>
            </w:r>
            <w:proofErr w:type="spellEnd"/>
            <w:r>
              <w:t xml:space="preserve">, </w:t>
            </w:r>
            <w:proofErr w:type="spellStart"/>
            <w:r>
              <w:t>видеомонтажеры</w:t>
            </w:r>
            <w:proofErr w:type="spellEnd"/>
            <w:r>
              <w:t xml:space="preserve">, звукооператоры) 1 000 </w:t>
            </w:r>
            <w:proofErr w:type="spellStart"/>
            <w:r>
              <w:t>000</w:t>
            </w:r>
            <w:proofErr w:type="spellEnd"/>
            <w:r>
              <w:t xml:space="preserve"> руб., аренда оборудования 200 000 руб., запись фонограмм 100000 руб., постановка массовых номеров 200000 руб., разработка сценария и программы 100000 </w:t>
            </w:r>
            <w:proofErr w:type="spellStart"/>
            <w:r>
              <w:t>руб</w:t>
            </w:r>
            <w:proofErr w:type="spellEnd"/>
            <w:r>
              <w:t xml:space="preserve">, изготовление полиграфической продукции и декораций 80000 руб., изготовление </w:t>
            </w:r>
            <w:proofErr w:type="spellStart"/>
            <w:r>
              <w:t>брендовой</w:t>
            </w:r>
            <w:proofErr w:type="spellEnd"/>
            <w:r>
              <w:t xml:space="preserve"> подарочной продукции 20000 руб., проживание участников 100 000 руб.</w:t>
            </w:r>
          </w:p>
        </w:tc>
      </w:tr>
      <w:tr w:rsidR="006777FD" w:rsidTr="00BF5F3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4. Студенческий спорт и здоровый образ жизни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472D90">
            <w:pPr>
              <w:pStyle w:val="a3"/>
            </w:pPr>
            <w:r>
              <w:t>4.1</w:t>
            </w:r>
            <w:r w:rsidR="006777FD">
              <w:t xml:space="preserve"> «Неделя здорового образа жизни»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994B49">
            <w:pPr>
              <w:pStyle w:val="a3"/>
              <w:jc w:val="center"/>
            </w:pPr>
            <w:r>
              <w:t>5</w:t>
            </w:r>
            <w:r w:rsidR="006777FD">
              <w:t>00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13.04.2016 - 18.04.2016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 w:rsidP="009E7230">
            <w:pPr>
              <w:pStyle w:val="a3"/>
            </w:pPr>
            <w:r>
              <w:t>Изготовление полиграфии (листовки, афиши, плакаты, раздаточный материал) - 30 000 руб., канце</w:t>
            </w:r>
            <w:r w:rsidR="009E7230">
              <w:t xml:space="preserve">лярские товары - 20 000 руб., Оплата судьям и врачам 60 000 </w:t>
            </w:r>
            <w:proofErr w:type="spellStart"/>
            <w:r w:rsidR="009E7230">
              <w:t>руб</w:t>
            </w:r>
            <w:proofErr w:type="spellEnd"/>
            <w:r w:rsidR="009E7230">
              <w:t xml:space="preserve"> изготовление кубков и медалей 50 000 </w:t>
            </w:r>
            <w:proofErr w:type="spellStart"/>
            <w:r w:rsidR="009E7230">
              <w:t>руб</w:t>
            </w:r>
            <w:proofErr w:type="spellEnd"/>
            <w:r w:rsidR="009E7230">
              <w:t>, закупка спортивного инвентаря и одежды 300 000 руб., Организация питания – 5</w:t>
            </w:r>
            <w:r w:rsidR="009E7230">
              <w:t>0 000 руб</w:t>
            </w:r>
            <w:r w:rsidR="009E7230">
              <w:t>.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472D90">
            <w:pPr>
              <w:pStyle w:val="a3"/>
            </w:pPr>
            <w:r>
              <w:t>4.2</w:t>
            </w:r>
            <w:r w:rsidR="006777FD">
              <w:t xml:space="preserve"> «Всероссийский фестиваль по черлидингу»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994B49">
            <w:pPr>
              <w:pStyle w:val="a3"/>
              <w:jc w:val="center"/>
            </w:pPr>
            <w:r>
              <w:t xml:space="preserve">2 </w:t>
            </w:r>
            <w:r w:rsidR="006777FD">
              <w:t>000</w:t>
            </w:r>
            <w:r>
              <w:t xml:space="preserve"> </w:t>
            </w:r>
            <w:proofErr w:type="spellStart"/>
            <w:r w:rsidR="006777FD"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01.10.2016 - 01.12.2016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F97486">
            <w:pPr>
              <w:pStyle w:val="a3"/>
            </w:pPr>
            <w:r>
              <w:t>Аренда спортивных комплексов 4</w:t>
            </w:r>
            <w:r w:rsidR="006777FD">
              <w:t>00 000 руб., ор</w:t>
            </w:r>
            <w:r>
              <w:t xml:space="preserve">ганизация </w:t>
            </w:r>
            <w:proofErr w:type="spellStart"/>
            <w:r>
              <w:t>трансфера</w:t>
            </w:r>
            <w:proofErr w:type="spellEnd"/>
            <w:r>
              <w:t xml:space="preserve"> участников 2</w:t>
            </w:r>
            <w:r w:rsidR="006777FD">
              <w:t xml:space="preserve">00 000 </w:t>
            </w:r>
            <w:proofErr w:type="spellStart"/>
            <w:r w:rsidR="006777FD">
              <w:t>руб.,о</w:t>
            </w:r>
            <w:r>
              <w:t>рганизация</w:t>
            </w:r>
            <w:proofErr w:type="spellEnd"/>
            <w:r>
              <w:t xml:space="preserve"> питания участников 20</w:t>
            </w:r>
            <w:r w:rsidR="006777FD">
              <w:t>0 000 руб., привлечение специалистов(судей, врачей) 200 000 руб., аренда оборудова</w:t>
            </w:r>
            <w:r>
              <w:t>ния для проведения мероприятия 300</w:t>
            </w:r>
            <w:r w:rsidR="006777FD">
              <w:t xml:space="preserve"> 000 руб., изготовление пол</w:t>
            </w:r>
            <w:r>
              <w:t>играфии и сувенирной продукции 2</w:t>
            </w:r>
            <w:r w:rsidR="006777FD">
              <w:t xml:space="preserve">00 000 </w:t>
            </w:r>
            <w:proofErr w:type="spellStart"/>
            <w:r w:rsidR="006777FD">
              <w:t>руб</w:t>
            </w:r>
            <w:proofErr w:type="spellEnd"/>
            <w:r w:rsidR="006777FD">
              <w:t>, закупка и установка спортивного покрытия 300 000 руб. закупка спортивного инвентаря для пода</w:t>
            </w:r>
            <w:r>
              <w:t>рков победителям и призерам- 2</w:t>
            </w:r>
            <w:r w:rsidR="006777FD">
              <w:t>00 000</w:t>
            </w:r>
          </w:p>
        </w:tc>
      </w:tr>
      <w:tr w:rsidR="006777FD" w:rsidTr="00BF5F3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10. Социальные стандарты и права студентов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10.1 "Всероссийский форум СПО"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994B49">
            <w:pPr>
              <w:pStyle w:val="a3"/>
              <w:jc w:val="center"/>
            </w:pPr>
            <w:r>
              <w:t xml:space="preserve">5 </w:t>
            </w:r>
            <w:r w:rsidR="006777FD">
              <w:t>000</w:t>
            </w:r>
            <w:r>
              <w:t xml:space="preserve"> </w:t>
            </w:r>
            <w:proofErr w:type="spellStart"/>
            <w:r w:rsidR="006777FD"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15.10.2016 - 30.11.2016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>Аренда транспорта - 500 00</w:t>
            </w:r>
            <w:r w:rsidR="00F05E7E">
              <w:t>0 руб., проживание и питание - 1</w:t>
            </w:r>
            <w:r>
              <w:t xml:space="preserve"> 500 000 руб. канцтовары – 100</w:t>
            </w:r>
            <w:r w:rsidR="00F05E7E">
              <w:t xml:space="preserve"> </w:t>
            </w:r>
            <w:r>
              <w:t>000 руб. Аренда за</w:t>
            </w:r>
            <w:r w:rsidR="00F05E7E">
              <w:t>ла и вспомогательных помещений 1 0</w:t>
            </w:r>
            <w:r>
              <w:t xml:space="preserve">00 </w:t>
            </w:r>
            <w:proofErr w:type="spellStart"/>
            <w:r>
              <w:t>000</w:t>
            </w:r>
            <w:proofErr w:type="spellEnd"/>
            <w:r>
              <w:t xml:space="preserve">, руб. Аренда оборудования 500 000 </w:t>
            </w:r>
            <w:proofErr w:type="spellStart"/>
            <w:r>
              <w:t>руб.,,изготовлен</w:t>
            </w:r>
            <w:r w:rsidR="00F05E7E">
              <w:t>ие</w:t>
            </w:r>
            <w:proofErr w:type="spellEnd"/>
            <w:r w:rsidR="00F05E7E">
              <w:t xml:space="preserve"> полиграфической продукции 4</w:t>
            </w:r>
            <w:r>
              <w:t xml:space="preserve">00 000 руб., изготовление </w:t>
            </w:r>
            <w:proofErr w:type="spellStart"/>
            <w:r>
              <w:t>брендовой</w:t>
            </w:r>
            <w:proofErr w:type="spellEnd"/>
            <w:r>
              <w:t xml:space="preserve"> подарочной продукции 400 000 руб. судьи, приглашенные</w:t>
            </w:r>
            <w:r w:rsidR="00F05E7E">
              <w:t xml:space="preserve"> гости, тренера мастер-классов 3</w:t>
            </w:r>
            <w:r>
              <w:t>00 000 руб. Пригла</w:t>
            </w:r>
            <w:r w:rsidR="00F05E7E">
              <w:t>шение СМИ, фото-видео съемка 3</w:t>
            </w:r>
            <w:r>
              <w:t xml:space="preserve">00 000 </w:t>
            </w:r>
            <w:proofErr w:type="spellStart"/>
            <w:r>
              <w:t>руб</w:t>
            </w:r>
            <w:proofErr w:type="spellEnd"/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472D90">
            <w:pPr>
              <w:pStyle w:val="a3"/>
            </w:pPr>
            <w:r>
              <w:t>10.2</w:t>
            </w:r>
            <w:r w:rsidR="006777FD">
              <w:t xml:space="preserve"> «Фестиваль ДАС»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994B49">
            <w:pPr>
              <w:pStyle w:val="a3"/>
              <w:jc w:val="center"/>
            </w:pPr>
            <w:r>
              <w:t>5</w:t>
            </w:r>
            <w:r w:rsidR="006777FD">
              <w:t>50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15.11.2016 - 30.11.2016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156640">
            <w:pPr>
              <w:pStyle w:val="a3"/>
            </w:pPr>
            <w:r>
              <w:t>Аренда помещения – 2</w:t>
            </w:r>
            <w:r w:rsidR="006777FD">
              <w:t xml:space="preserve">00 000 руб. Аренда оборудования (звуковое, видео) -100 000 руб. Типографская продукция (афиши, билеты, дипломы, </w:t>
            </w:r>
            <w:proofErr w:type="spellStart"/>
            <w:r w:rsidR="006777FD">
              <w:t>банеры</w:t>
            </w:r>
            <w:proofErr w:type="spellEnd"/>
            <w:r w:rsidR="006777FD">
              <w:t>, пригласительные) –10 000 ру</w:t>
            </w:r>
            <w:r>
              <w:t>б. Оформление сцены - 9</w:t>
            </w:r>
            <w:r w:rsidR="006777FD">
              <w:t>0 000 руб., раз</w:t>
            </w:r>
            <w:r>
              <w:t>работка сценария и программы - 5</w:t>
            </w:r>
            <w:r w:rsidR="006777FD">
              <w:t xml:space="preserve">0 000, </w:t>
            </w:r>
            <w:proofErr w:type="spellStart"/>
            <w:r w:rsidR="006777FD">
              <w:t>бр</w:t>
            </w:r>
            <w:r>
              <w:t>эндовая</w:t>
            </w:r>
            <w:proofErr w:type="spellEnd"/>
            <w:r>
              <w:t xml:space="preserve"> продукция и подарки - 10</w:t>
            </w:r>
            <w:r w:rsidR="006777FD">
              <w:t>0 000 руб.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472D90">
            <w:pPr>
              <w:pStyle w:val="a3"/>
            </w:pPr>
            <w:r>
              <w:t>10.3</w:t>
            </w:r>
            <w:r w:rsidR="006777FD">
              <w:t xml:space="preserve"> Республиканская школа «Стипендиальное обеспечение»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1</w:t>
            </w:r>
            <w:r w:rsidR="00994B49">
              <w:t xml:space="preserve"> </w:t>
            </w:r>
            <w:r>
              <w:t>000</w:t>
            </w:r>
            <w:r w:rsidR="00994B49">
              <w:t xml:space="preserve"> </w:t>
            </w:r>
            <w:proofErr w:type="spellStart"/>
            <w: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01.03.2016 - 31.10.2016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r>
              <w:t xml:space="preserve">Проживание, питание, </w:t>
            </w:r>
            <w:proofErr w:type="spellStart"/>
            <w:r>
              <w:t>трансфер</w:t>
            </w:r>
            <w:proofErr w:type="spellEnd"/>
            <w:r>
              <w:t xml:space="preserve"> 500 000 Раздаточный материал и сувенирная продукция 100 000 канцелярия- Учебная программа (разработка) – 80 000 6 преподавателей для работы в группах (не менее 10 часов каждый) – 70 000 </w:t>
            </w:r>
            <w:proofErr w:type="spellStart"/>
            <w:r>
              <w:t>Банеры</w:t>
            </w:r>
            <w:proofErr w:type="spellEnd"/>
            <w:r>
              <w:t xml:space="preserve">, оформление зала-50 000 Аренда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 - 50 000 Фото и видеосъемка, монтаж ролика о мероприятии - 30 000 Информационное обеспечение, Продвижение мероприятия в городских и региональных СМИ Распространение информации о мероприятии в глобальной сети Интернет- 70 000. Разработка и печать информационного сборника нормативно-правовых документов, лучших практик по стипендиальному обеспечению 50 000 руб.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472D90">
            <w:pPr>
              <w:pStyle w:val="a3"/>
            </w:pPr>
            <w:r>
              <w:t>10.4</w:t>
            </w:r>
            <w:r w:rsidR="006777FD">
              <w:t xml:space="preserve"> Круглогодичная межвузовская школа профсоюзного актива «Поколение П»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D40765">
            <w:pPr>
              <w:pStyle w:val="a3"/>
              <w:jc w:val="center"/>
            </w:pPr>
            <w:r>
              <w:t>6</w:t>
            </w:r>
            <w:r w:rsidR="006777FD">
              <w:t>00</w:t>
            </w:r>
            <w:r>
              <w:t xml:space="preserve"> </w:t>
            </w:r>
            <w:r w:rsidR="006777FD"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01.02.2016 - 30.12.2016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 w:rsidP="00BF5F39">
            <w:pPr>
              <w:pStyle w:val="a3"/>
            </w:pPr>
            <w:proofErr w:type="spellStart"/>
            <w:r>
              <w:t>Брендовая</w:t>
            </w:r>
            <w:proofErr w:type="spellEnd"/>
            <w:r>
              <w:t xml:space="preserve"> и сувенирн</w:t>
            </w:r>
            <w:r w:rsidR="00BF5F39">
              <w:t>ая продукция – 330 000 руб. Канцтовары 50 000 руб., оплата тренеров – 70 000 руб., печать полиграфии– 150</w:t>
            </w:r>
            <w:r>
              <w:t xml:space="preserve"> 000 руб.</w:t>
            </w:r>
            <w:r w:rsidR="00BF5F39">
              <w:t xml:space="preserve">, </w:t>
            </w:r>
          </w:p>
        </w:tc>
      </w:tr>
      <w:tr w:rsidR="00994B49" w:rsidTr="00BF5F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472D90">
            <w:pPr>
              <w:pStyle w:val="a3"/>
            </w:pPr>
            <w:r>
              <w:t>10.5</w:t>
            </w:r>
            <w:r w:rsidR="006777FD">
              <w:t xml:space="preserve"> Круглогодичные школы студенческого актива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3</w:t>
            </w:r>
            <w:r w:rsidR="00D40765">
              <w:t xml:space="preserve"> </w:t>
            </w:r>
            <w:r>
              <w:t>000</w:t>
            </w:r>
            <w:r w:rsidR="00D40765">
              <w:t xml:space="preserve"> </w:t>
            </w:r>
            <w:proofErr w:type="spellStart"/>
            <w: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777FD" w:rsidRDefault="006777FD">
            <w:pPr>
              <w:pStyle w:val="a3"/>
              <w:jc w:val="center"/>
            </w:pPr>
            <w:r>
              <w:t>01.02.2016 - 20.12.2016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6777FD" w:rsidRDefault="006777FD">
            <w:pPr>
              <w:pStyle w:val="a3"/>
            </w:pPr>
            <w:proofErr w:type="spellStart"/>
            <w:r>
              <w:t>Трансфер</w:t>
            </w:r>
            <w:proofErr w:type="spellEnd"/>
            <w:r>
              <w:t xml:space="preserve"> - 200 000 руб., проживание и питание - 1 500 000 , Оборудование 500 000 руб., канцтовары – 15000, изготовление </w:t>
            </w:r>
            <w:proofErr w:type="spellStart"/>
            <w:r>
              <w:t>брэндовой</w:t>
            </w:r>
            <w:proofErr w:type="spellEnd"/>
            <w:r>
              <w:t xml:space="preserve"> продукции 285 000 руб. </w:t>
            </w:r>
            <w:proofErr w:type="spellStart"/>
            <w:r>
              <w:t>трансфер</w:t>
            </w:r>
            <w:proofErr w:type="spellEnd"/>
            <w:r>
              <w:t xml:space="preserve"> участников и командировочные расходы (поездом до места проведения Всероссийских школ актива) - 500 000 руб., организационные взносы - 100 000 руб.</w:t>
            </w:r>
          </w:p>
        </w:tc>
      </w:tr>
    </w:tbl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6777FD" w:rsidRDefault="006777FD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>Ректор  ___________________ Г.С. Дьяконов</w:t>
      </w:r>
    </w:p>
    <w:p w:rsidR="006777FD" w:rsidRDefault="006777FD">
      <w:pPr>
        <w:pStyle w:val="a3"/>
        <w:spacing w:after="0" w:afterAutospacing="0"/>
        <w:rPr>
          <w:b/>
          <w:bCs/>
        </w:rPr>
      </w:pPr>
    </w:p>
    <w:p w:rsidR="006777FD" w:rsidRDefault="006777FD">
      <w:pPr>
        <w:pStyle w:val="a3"/>
        <w:rPr>
          <w:b/>
          <w:bCs/>
        </w:rPr>
      </w:pPr>
      <w:r>
        <w:rPr>
          <w:b/>
          <w:bCs/>
        </w:rPr>
        <w:t>М.П. (Подпись)</w:t>
      </w:r>
    </w:p>
    <w:p w:rsidR="006777FD" w:rsidRDefault="006777FD">
      <w:pPr>
        <w:pStyle w:val="a3"/>
        <w:spacing w:after="240" w:afterAutospacing="0"/>
        <w:rPr>
          <w:b/>
          <w:bCs/>
        </w:rPr>
      </w:pPr>
    </w:p>
    <w:p w:rsidR="006777FD" w:rsidRDefault="006777FD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Руководитель Совета ___________________ Л.Р. </w:t>
      </w:r>
      <w:proofErr w:type="spellStart"/>
      <w:r>
        <w:rPr>
          <w:b/>
          <w:bCs/>
        </w:rPr>
        <w:t>Диярова</w:t>
      </w:r>
      <w:proofErr w:type="spellEnd"/>
    </w:p>
    <w:p w:rsidR="006777FD" w:rsidRDefault="006777FD">
      <w:pPr>
        <w:pStyle w:val="a3"/>
        <w:spacing w:after="0" w:afterAutospacing="0"/>
        <w:rPr>
          <w:b/>
          <w:bCs/>
        </w:rPr>
      </w:pPr>
    </w:p>
    <w:p w:rsidR="006777FD" w:rsidRDefault="006777FD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>М.П. (Подпись)</w:t>
      </w:r>
    </w:p>
    <w:sectPr w:rsidR="0067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6C06"/>
    <w:multiLevelType w:val="multilevel"/>
    <w:tmpl w:val="FC98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efaultTabStop w:val="708"/>
  <w:noPunctuationKerning/>
  <w:characterSpacingControl w:val="doNotCompress"/>
  <w:compat/>
  <w:rsids>
    <w:rsidRoot w:val="00D25B6A"/>
    <w:rsid w:val="001456AC"/>
    <w:rsid w:val="00156640"/>
    <w:rsid w:val="00240883"/>
    <w:rsid w:val="00472D90"/>
    <w:rsid w:val="005E4505"/>
    <w:rsid w:val="00623278"/>
    <w:rsid w:val="006777FD"/>
    <w:rsid w:val="00937E26"/>
    <w:rsid w:val="00994B49"/>
    <w:rsid w:val="009A5566"/>
    <w:rsid w:val="009E7230"/>
    <w:rsid w:val="00B64248"/>
    <w:rsid w:val="00BF5F39"/>
    <w:rsid w:val="00C97B27"/>
    <w:rsid w:val="00CA37E3"/>
    <w:rsid w:val="00D14BD9"/>
    <w:rsid w:val="00D25B6A"/>
    <w:rsid w:val="00D40765"/>
    <w:rsid w:val="00D86F0B"/>
    <w:rsid w:val="00F05E7E"/>
    <w:rsid w:val="00F9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ktor">
    <w:name w:val="rektor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rektor1">
    <w:name w:val="rektor1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rosstudtsentr.ru/assets/users/257/9e09dd11036276e0346c60c0495a0c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/>
  <LinksUpToDate>false</LinksUpToDate>
  <CharactersWithSpaces>38130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Airat</dc:creator>
  <cp:lastModifiedBy>Airat</cp:lastModifiedBy>
  <cp:revision>2</cp:revision>
  <dcterms:created xsi:type="dcterms:W3CDTF">2015-11-12T08:59:00Z</dcterms:created>
  <dcterms:modified xsi:type="dcterms:W3CDTF">2015-11-12T08:59:00Z</dcterms:modified>
</cp:coreProperties>
</file>