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7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6"/>
        <w:tblW w:w="8328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75"/>
        <w:gridCol w:w="1926"/>
        <w:gridCol w:w="1643"/>
        <w:gridCol w:w="1418"/>
        <w:gridCol w:w="1666"/>
      </w:tblGrid>
      <w:tr>
        <w:trPr/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654050" cy="838835"/>
                  <wp:effectExtent l="0" t="0" r="0" b="0"/>
                  <wp:docPr id="1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1082040" cy="587375"/>
                  <wp:effectExtent l="0" t="0" r="0" b="0"/>
                  <wp:docPr id="2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771525" cy="771525"/>
                  <wp:effectExtent l="0" t="0" r="0" b="0"/>
                  <wp:docPr id="3" name="Рисунок 7" descr="http://img0.liveinternet.ru/images/attach/d/0/137/5/137005156_1990Coat_of_Arms_of_Tatars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http://img0.liveinternet.ru/images/attach/d/0/137/5/137005156_1990Coat_of_Arms_of_Tatarst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lang w:eastAsia="ru-RU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ru-RU" w:bidi="ar-SA"/>
              </w:rPr>
              <w:drawing>
                <wp:inline distT="0" distB="0" distL="0" distR="0">
                  <wp:extent cx="645795" cy="930910"/>
                  <wp:effectExtent l="0" t="0" r="0" b="0"/>
                  <wp:docPr id="4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mbria" w:hAnsi="Cambria" w:eastAsia="Cambria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721360" cy="780415"/>
                  <wp:effectExtent l="0" t="0" r="0" b="0"/>
                  <wp:docPr id="5" name="Рисунок 4" descr="https://upload.wikimedia.org/wikipedia/commons/thumb/b/be/%D0%9B%D0%9E%D0%93%D0%9E_%D0%9A%D0%9D%D0%98%D0%A2%D0%A3(!).jpg/220px-%D0%9B%D0%9E%D0%93%D0%9E_%D0%9A%D0%9D%D0%98%D0%A2%D0%A3(!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https://upload.wikimedia.org/wikipedia/commons/thumb/b/be/%D0%9B%D0%9E%D0%93%D0%9E_%D0%9A%D0%9D%D0%98%D0%A2%D0%A3(!).jpg/220px-%D0%9B%D0%9E%D0%93%D0%9E_%D0%9A%D0%9D%D0%98%D0%A2%D0%A3(!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 Narrow" w:hAnsi="Arial Narrow" w:cs="Arial"/>
          <w:b/>
          <w:b/>
          <w:color w:val="000066"/>
          <w:sz w:val="56"/>
          <w:szCs w:val="56"/>
        </w:rPr>
      </w:pPr>
      <w:r>
        <w:rPr>
          <w:rFonts w:cs="Arial" w:ascii="Arial Narrow" w:hAnsi="Arial Narrow"/>
          <w:b/>
          <w:color w:val="000066"/>
          <w:sz w:val="56"/>
          <w:szCs w:val="56"/>
        </w:rPr>
      </w:r>
    </w:p>
    <w:p>
      <w:pPr>
        <w:pStyle w:val="Normal"/>
        <w:jc w:val="center"/>
        <w:rPr>
          <w:rFonts w:ascii="Arial Narrow" w:hAnsi="Arial Narrow" w:cs="Arial"/>
          <w:b/>
          <w:b/>
          <w:color w:val="000066"/>
          <w:sz w:val="56"/>
          <w:szCs w:val="56"/>
        </w:rPr>
      </w:pPr>
      <w:r>
        <w:rPr>
          <w:rFonts w:cs="Arial" w:ascii="Arial Narrow" w:hAnsi="Arial Narrow"/>
          <w:b/>
          <w:color w:val="000066"/>
          <w:sz w:val="56"/>
          <w:szCs w:val="56"/>
        </w:rPr>
      </w:r>
    </w:p>
    <w:p>
      <w:pPr>
        <w:pStyle w:val="Normal"/>
        <w:jc w:val="center"/>
        <w:rPr>
          <w:rFonts w:ascii="Arial Narrow" w:hAnsi="Arial Narrow" w:cs="Arial"/>
          <w:b/>
          <w:b/>
          <w:color w:val="000066"/>
          <w:sz w:val="56"/>
          <w:szCs w:val="56"/>
        </w:rPr>
      </w:pPr>
      <w:r>
        <w:rPr>
          <w:rFonts w:cs="Arial" w:ascii="Arial Narrow" w:hAnsi="Arial Narrow"/>
          <w:b/>
          <w:color w:val="000066"/>
          <w:sz w:val="56"/>
          <w:szCs w:val="56"/>
        </w:rPr>
      </w:r>
    </w:p>
    <w:p>
      <w:pPr>
        <w:pStyle w:val="Normal"/>
        <w:jc w:val="center"/>
        <w:rPr>
          <w:rFonts w:ascii="Arial Narrow" w:hAnsi="Arial Narrow" w:cs="Arial"/>
          <w:b/>
          <w:b/>
          <w:color w:val="000066"/>
          <w:sz w:val="56"/>
          <w:szCs w:val="56"/>
        </w:rPr>
      </w:pPr>
      <w:r>
        <w:rPr>
          <w:rFonts w:cs="Arial" w:ascii="Arial Narrow" w:hAnsi="Arial Narrow"/>
          <w:b/>
          <w:color w:val="000066"/>
          <w:sz w:val="56"/>
          <w:szCs w:val="56"/>
        </w:rPr>
        <w:t>ПРОГРАММА</w:t>
      </w:r>
    </w:p>
    <w:p>
      <w:pPr>
        <w:pStyle w:val="Normal"/>
        <w:jc w:val="center"/>
        <w:rPr>
          <w:rFonts w:ascii="Arial" w:hAnsi="Arial" w:cs="Arial"/>
          <w:b/>
          <w:b/>
          <w:color w:val="000066"/>
          <w:sz w:val="32"/>
          <w:szCs w:val="32"/>
        </w:rPr>
      </w:pPr>
      <w:r>
        <w:rPr>
          <w:rFonts w:cs="Arial" w:ascii="Arial" w:hAnsi="Arial"/>
          <w:b/>
          <w:color w:val="000066"/>
          <w:sz w:val="32"/>
          <w:szCs w:val="32"/>
        </w:rPr>
        <w:t xml:space="preserve">Международной сетевой научно-практической </w:t>
      </w:r>
    </w:p>
    <w:p>
      <w:pPr>
        <w:pStyle w:val="Normal"/>
        <w:jc w:val="center"/>
        <w:rPr>
          <w:rFonts w:ascii="Arial" w:hAnsi="Arial" w:cs="Arial"/>
          <w:b/>
          <w:b/>
          <w:color w:val="000066"/>
          <w:sz w:val="32"/>
          <w:szCs w:val="32"/>
        </w:rPr>
      </w:pPr>
      <w:r>
        <w:rPr>
          <w:rFonts w:cs="Arial" w:ascii="Arial" w:hAnsi="Arial"/>
          <w:b/>
          <w:color w:val="000066"/>
          <w:sz w:val="32"/>
          <w:szCs w:val="32"/>
        </w:rPr>
        <w:t>конференции по инженерному образованию</w:t>
      </w:r>
    </w:p>
    <w:p>
      <w:pPr>
        <w:pStyle w:val="Normal"/>
        <w:jc w:val="center"/>
        <w:rPr>
          <w:rFonts w:ascii="Arial" w:hAnsi="Arial" w:cs="Arial"/>
          <w:b/>
          <w:b/>
          <w:color w:val="000066"/>
          <w:sz w:val="32"/>
          <w:szCs w:val="32"/>
        </w:rPr>
      </w:pPr>
      <w:r>
        <w:rPr>
          <w:rFonts w:cs="Arial" w:ascii="Arial" w:hAnsi="Arial"/>
          <w:b/>
          <w:color w:val="000066"/>
          <w:sz w:val="32"/>
          <w:szCs w:val="32"/>
        </w:rPr>
      </w:r>
    </w:p>
    <w:p>
      <w:pPr>
        <w:pStyle w:val="Normal"/>
        <w:ind w:firstLine="993"/>
        <w:rPr>
          <w:rFonts w:ascii="Arial Narrow" w:hAnsi="Arial Narrow" w:cs="Arial"/>
          <w:b/>
          <w:b/>
          <w:color w:val="922A34"/>
          <w:sz w:val="48"/>
          <w:szCs w:val="48"/>
        </w:rPr>
      </w:pPr>
      <w:r>
        <w:rPr>
          <w:rFonts w:cs="Arial" w:ascii="Arial Narrow" w:hAnsi="Arial Narrow"/>
          <w:b/>
          <w:color w:val="922A34"/>
          <w:sz w:val="48"/>
          <w:szCs w:val="48"/>
        </w:rPr>
        <w:t xml:space="preserve">«Инженерное образование в контексте </w:t>
      </w:r>
    </w:p>
    <w:p>
      <w:pPr>
        <w:pStyle w:val="Normal"/>
        <w:ind w:firstLine="993"/>
        <w:rPr>
          <w:rFonts w:ascii="Arial Narrow" w:hAnsi="Arial Narrow" w:cs="Arial"/>
          <w:b/>
          <w:b/>
          <w:color w:val="922A34"/>
          <w:sz w:val="48"/>
          <w:szCs w:val="48"/>
        </w:rPr>
      </w:pPr>
      <w:r>
        <w:rPr>
          <w:rFonts w:cs="Arial" w:ascii="Arial Narrow" w:hAnsi="Arial Narrow"/>
          <w:b/>
          <w:color w:val="922A34"/>
          <w:sz w:val="48"/>
          <w:szCs w:val="48"/>
        </w:rPr>
        <w:t xml:space="preserve">будущих промышленных революций – </w:t>
      </w:r>
    </w:p>
    <w:p>
      <w:pPr>
        <w:pStyle w:val="Normal"/>
        <w:ind w:firstLine="993"/>
        <w:rPr>
          <w:rFonts w:ascii="Arial Narrow" w:hAnsi="Arial Narrow" w:cs="Arial"/>
          <w:b/>
          <w:b/>
          <w:color w:val="922A34"/>
          <w:sz w:val="48"/>
          <w:szCs w:val="48"/>
        </w:rPr>
      </w:pPr>
      <w:r>
        <w:rPr>
          <w:rFonts w:cs="Arial" w:ascii="Arial Narrow" w:hAnsi="Arial Narrow"/>
          <w:b/>
          <w:color w:val="922A34"/>
          <w:sz w:val="48"/>
          <w:szCs w:val="48"/>
        </w:rPr>
        <w:t>СИНЕРГИЯ-2020»</w:t>
      </w:r>
    </w:p>
    <w:p>
      <w:pPr>
        <w:pStyle w:val="Normal"/>
        <w:ind w:left="993" w:hanging="0"/>
        <w:rPr>
          <w:rFonts w:ascii="Arial Narrow" w:hAnsi="Arial Narrow" w:cs="Arial"/>
          <w:b/>
          <w:b/>
          <w:color w:val="922A34"/>
          <w:sz w:val="32"/>
          <w:szCs w:val="32"/>
        </w:rPr>
      </w:pPr>
      <w:r>
        <w:rPr>
          <w:rFonts w:cs="Arial" w:ascii="Arial Narrow" w:hAnsi="Arial Narrow"/>
          <w:b/>
          <w:color w:val="922A34"/>
          <w:sz w:val="32"/>
          <w:szCs w:val="32"/>
        </w:rPr>
      </w:r>
    </w:p>
    <w:p>
      <w:pPr>
        <w:pStyle w:val="Normal"/>
        <w:ind w:left="993" w:hanging="0"/>
        <w:rPr>
          <w:rFonts w:ascii="Arial Narrow" w:hAnsi="Arial Narrow" w:cs="Arial"/>
          <w:b/>
          <w:b/>
          <w:color w:val="922A34"/>
          <w:sz w:val="32"/>
          <w:szCs w:val="32"/>
        </w:rPr>
      </w:pPr>
      <w:r>
        <w:rPr>
          <w:rFonts w:cs="Arial" w:ascii="Arial Narrow" w:hAnsi="Arial Narrow"/>
          <w:b/>
          <w:color w:val="922A34"/>
          <w:sz w:val="32"/>
          <w:szCs w:val="32"/>
        </w:rPr>
        <w:t>ПЛЕНАРНАЯ СЕССИЯ Казанского национального</w:t>
      </w:r>
    </w:p>
    <w:p>
      <w:pPr>
        <w:pStyle w:val="Normal"/>
        <w:ind w:left="993" w:hanging="0"/>
        <w:rPr>
          <w:rFonts w:ascii="Arial Narrow" w:hAnsi="Arial Narrow" w:cs="Arial"/>
          <w:b/>
          <w:b/>
          <w:color w:val="922A34"/>
          <w:sz w:val="32"/>
          <w:szCs w:val="32"/>
        </w:rPr>
      </w:pPr>
      <w:r>
        <w:rPr>
          <w:rFonts w:cs="Arial" w:ascii="Arial Narrow" w:hAnsi="Arial Narrow"/>
          <w:b/>
          <w:color w:val="922A34"/>
          <w:sz w:val="32"/>
          <w:szCs w:val="32"/>
        </w:rPr>
        <w:t>исследовательского технологического университета</w:t>
      </w:r>
    </w:p>
    <w:p>
      <w:pPr>
        <w:pStyle w:val="Normal"/>
        <w:ind w:left="993" w:hanging="0"/>
        <w:rPr>
          <w:rFonts w:ascii="Arial Narrow" w:hAnsi="Arial Narrow" w:cs="Arial"/>
          <w:b/>
          <w:b/>
          <w:color w:val="922A34"/>
          <w:sz w:val="32"/>
          <w:szCs w:val="32"/>
        </w:rPr>
      </w:pPr>
      <w:r>
        <w:rPr>
          <w:rFonts w:cs="Arial" w:ascii="Arial Narrow" w:hAnsi="Arial Narrow"/>
          <w:b/>
          <w:color w:val="922A34"/>
          <w:sz w:val="32"/>
          <w:szCs w:val="32"/>
        </w:rPr>
      </w:r>
    </w:p>
    <w:p>
      <w:pPr>
        <w:pStyle w:val="Normal"/>
        <w:ind w:left="993" w:hanging="0"/>
        <w:rPr>
          <w:rFonts w:ascii="Arial Narrow" w:hAnsi="Arial Narrow" w:cs="Arial"/>
          <w:b/>
          <w:b/>
          <w:color w:val="922A34"/>
          <w:sz w:val="32"/>
          <w:szCs w:val="32"/>
        </w:rPr>
      </w:pPr>
      <w:r>
        <w:rPr>
          <w:rFonts w:cs="Arial" w:ascii="Arial Narrow" w:hAnsi="Arial Narrow"/>
          <w:b/>
          <w:color w:val="922A34"/>
          <w:sz w:val="32"/>
          <w:szCs w:val="32"/>
        </w:rPr>
      </w:r>
    </w:p>
    <w:p>
      <w:pPr>
        <w:pStyle w:val="Normal"/>
        <w:ind w:left="993" w:hanging="0"/>
        <w:rPr>
          <w:rFonts w:ascii="Arial Narrow" w:hAnsi="Arial Narrow" w:cs="Arial"/>
          <w:b/>
          <w:b/>
          <w:sz w:val="32"/>
          <w:szCs w:val="32"/>
        </w:rPr>
      </w:pPr>
      <w:r>
        <w:rPr>
          <w:rFonts w:cs="Arial" w:ascii="Arial Narrow" w:hAnsi="Arial Narrow"/>
          <w:b/>
          <w:sz w:val="32"/>
          <w:szCs w:val="32"/>
        </w:rPr>
      </w:r>
    </w:p>
    <w:p>
      <w:pPr>
        <w:pStyle w:val="Normal"/>
        <w:ind w:left="993" w:hanging="0"/>
        <w:rPr>
          <w:rFonts w:ascii="Arial Narrow" w:hAnsi="Arial Narrow" w:cs="Arial"/>
          <w:b/>
          <w:b/>
          <w:sz w:val="32"/>
          <w:szCs w:val="32"/>
        </w:rPr>
      </w:pPr>
      <w:r>
        <w:rPr>
          <w:rFonts w:cs="Arial" w:ascii="Arial Narrow" w:hAnsi="Arial Narrow"/>
          <w:b/>
          <w:sz w:val="32"/>
          <w:szCs w:val="32"/>
        </w:rPr>
      </w:r>
    </w:p>
    <w:p>
      <w:pPr>
        <w:pStyle w:val="Normal"/>
        <w:ind w:left="993" w:hanging="0"/>
        <w:rPr>
          <w:rFonts w:ascii="Arial Narrow" w:hAnsi="Arial Narrow" w:cs="Arial"/>
          <w:b/>
          <w:b/>
          <w:sz w:val="32"/>
          <w:szCs w:val="32"/>
        </w:rPr>
      </w:pPr>
      <w:r>
        <w:rPr>
          <w:rFonts w:cs="Arial" w:ascii="Arial Narrow" w:hAnsi="Arial Narrow"/>
          <w:b/>
          <w:sz w:val="32"/>
          <w:szCs w:val="32"/>
        </w:rPr>
      </w:r>
    </w:p>
    <w:p>
      <w:pPr>
        <w:pStyle w:val="Normal"/>
        <w:rPr>
          <w:rFonts w:ascii="Arial Narrow" w:hAnsi="Arial Narrow" w:cs="Arial"/>
          <w:b/>
          <w:b/>
          <w:sz w:val="32"/>
          <w:szCs w:val="32"/>
        </w:rPr>
      </w:pPr>
      <w:r>
        <w:rPr>
          <w:rFonts w:cs="Arial" w:ascii="Arial Narrow" w:hAnsi="Arial Narrow"/>
          <w:b/>
          <w:sz w:val="32"/>
          <w:szCs w:val="32"/>
        </w:rPr>
      </w:r>
    </w:p>
    <w:tbl>
      <w:tblPr>
        <w:tblStyle w:val="a6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144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eastAsia="Cambria"/>
                <w:kern w:val="0"/>
                <w:lang w:val="ru-RU" w:eastAsia="en-US" w:bidi="ar-SA"/>
              </w:rPr>
              <w:drawing>
                <wp:inline distT="0" distB="0" distL="0" distR="0">
                  <wp:extent cx="1703070" cy="972820"/>
                  <wp:effectExtent l="0" t="0" r="0" b="0"/>
                  <wp:docPr id="6" name="Рисунок 2" descr="http://sensorika.uz/uploads/posts/2012-12/thumbs/1356507322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" descr="http://sensorika.uz/uploads/posts/2012-12/thumbs/1356507322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0" t="0" r="0" b="19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eastAsia="Cambria" w:cs="Arial" w:ascii="Arial Narrow" w:hAnsi="Arial Narrow"/>
                <w:b/>
                <w:kern w:val="0"/>
                <w:sz w:val="28"/>
                <w:szCs w:val="28"/>
                <w:lang w:val="ru-RU" w:eastAsia="en-US" w:bidi="ar-SA"/>
              </w:rPr>
              <w:t>Генеральный спонсор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eastAsia="Cambria" w:cs="Arial" w:ascii="Arial Narrow" w:hAnsi="Arial Narrow"/>
                <w:b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b/>
                <w:sz w:val="24"/>
                <w:szCs w:val="24"/>
              </w:rPr>
            </w:pPr>
            <w:r>
              <w:rPr>
                <w:rFonts w:eastAsia="Cambria" w:cs="Arial" w:ascii="Arial Narrow" w:hAnsi="Arial Narrow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lang w:eastAsia="ru-RU"/>
              </w:rPr>
            </w:pPr>
            <w:r>
              <w:rPr>
                <w:rFonts w:eastAsia="Cambria" w:cs="" w:ascii="Cambria" w:hAnsi="Cambria"/>
                <w:kern w:val="0"/>
                <w:sz w:val="22"/>
                <w:szCs w:val="22"/>
                <w:lang w:val="ru-RU" w:bidi="ar-SA"/>
              </w:rPr>
              <w:drawing>
                <wp:inline distT="0" distB="0" distL="0" distR="0">
                  <wp:extent cx="2097405" cy="1677670"/>
                  <wp:effectExtent l="0" t="0" r="0" b="0"/>
                  <wp:docPr id="7" name="Рисунок 1" descr="http://www.kstu.ru/servlet/contentblob?pre=28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 descr="http://www.kstu.ru/servlet/contentblob?pre=280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3026" t="6708" r="13757" b="5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167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Arial Narrow" w:hAnsi="Arial Narrow" w:cs="Arial"/>
          <w:b/>
          <w:b/>
          <w:color w:val="7E242D"/>
          <w:sz w:val="32"/>
          <w:szCs w:val="32"/>
        </w:rPr>
      </w:pPr>
      <w:r>
        <w:rPr>
          <w:rFonts w:cs="Arial" w:ascii="Arial Narrow" w:hAnsi="Arial Narrow"/>
          <w:b/>
          <w:color w:val="7E242D"/>
          <w:sz w:val="32"/>
          <w:szCs w:val="32"/>
        </w:rPr>
      </w:r>
    </w:p>
    <w:p>
      <w:pPr>
        <w:pStyle w:val="Normal"/>
        <w:jc w:val="center"/>
        <w:rPr>
          <w:rFonts w:ascii="Arial Narrow" w:hAnsi="Arial Narrow" w:cs="Arial"/>
          <w:b/>
          <w:b/>
          <w:color w:val="7E242D"/>
          <w:sz w:val="32"/>
          <w:szCs w:val="32"/>
        </w:rPr>
      </w:pPr>
      <w:r>
        <w:rPr>
          <w:rFonts w:cs="Arial" w:ascii="Arial Narrow" w:hAnsi="Arial Narrow"/>
          <w:b/>
          <w:color w:val="7E242D"/>
          <w:sz w:val="32"/>
          <w:szCs w:val="32"/>
        </w:rPr>
        <w:t>Казань, КНИТУ,</w:t>
      </w:r>
    </w:p>
    <w:p>
      <w:pPr>
        <w:pStyle w:val="Normal"/>
        <w:jc w:val="center"/>
        <w:rPr>
          <w:rFonts w:ascii="Arial Narrow" w:hAnsi="Arial Narrow" w:cs="Arial"/>
          <w:sz w:val="32"/>
          <w:szCs w:val="32"/>
        </w:rPr>
      </w:pPr>
      <w:r>
        <w:rPr>
          <w:rFonts w:cs="Arial" w:ascii="Arial Narrow" w:hAnsi="Arial Narrow"/>
          <w:b/>
          <w:color w:val="7E242D"/>
          <w:sz w:val="32"/>
          <w:szCs w:val="32"/>
        </w:rPr>
        <w:t>10-11 ноября 2020 г.</w:t>
      </w:r>
    </w:p>
    <w:p>
      <w:pPr>
        <w:pStyle w:val="11"/>
        <w:pBdr/>
        <w:spacing w:lineRule="auto" w:line="276" w:before="0" w:after="120"/>
        <w:ind w:firstLine="28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Конференция проводится по инициативе Казанского национального исследовательского технологического университета.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 w:before="0" w:after="120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b/>
          <w:color w:val="000066"/>
          <w:sz w:val="28"/>
          <w:szCs w:val="28"/>
        </w:rPr>
        <w:t xml:space="preserve">Генеральный спонсор 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>– ПАО «Газпром».</w:t>
      </w:r>
    </w:p>
    <w:p>
      <w:pPr>
        <w:pStyle w:val="11"/>
        <w:pBdr/>
        <w:spacing w:lineRule="auto" w:line="276" w:before="0" w:after="120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 w:before="0" w:after="120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b/>
          <w:color w:val="000066"/>
          <w:sz w:val="28"/>
          <w:szCs w:val="28"/>
        </w:rPr>
        <w:t>Цель конференции –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 xml:space="preserve"> обсуждение актуальных проблем инженерного образования в условиях меняющегося мира, его устойчивого развития; цифровой экономики, индустрии 4.0 и будущих промышленных революций; вопросов подготовки востребованных кадров для ведущих отраслей промышленности и, прежде всего, нефтегазохимической отрасли с участием заказчиков и под нужды реальной экономики; рассмотрение мирового и отечественного опыта использования инновационных технологий и форм обучения в подготовке инновационных инженеров для индустрии 4.0 и ее ведущих отраслей, а также вопросов повышения производительности труда.</w:t>
      </w:r>
    </w:p>
    <w:p>
      <w:pPr>
        <w:pStyle w:val="11"/>
        <w:pBdr/>
        <w:spacing w:lineRule="auto" w:line="276" w:before="0" w:after="120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b/>
          <w:color w:val="000066"/>
          <w:sz w:val="28"/>
          <w:szCs w:val="28"/>
        </w:rPr>
        <w:t>Основные направления работы конференции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>: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1. Глобальные тренды инженерного образования в условиях цифровой трансформации общества.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2. Взаимодействие инженерного образования с высокотехнологичными бизнесом и промышленностью.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3. Цифровая образовательная среда и научно-образовательные проекты, модели цифровых компетенций и механизмы их независимой аттестации.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4. Подготовка кадров высшей квалификации для ведущих научных, образовательных организаций и бизнес-сообщества.</w:t>
      </w:r>
    </w:p>
    <w:p>
      <w:pPr>
        <w:pStyle w:val="11"/>
        <w:pBdr/>
        <w:spacing w:lineRule="auto" w:line="276" w:before="0" w:after="120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5. Профессиональное образование.</w:t>
      </w:r>
    </w:p>
    <w:p>
      <w:pPr>
        <w:pStyle w:val="11"/>
        <w:pBdr/>
        <w:spacing w:lineRule="auto" w:line="276" w:before="0" w:after="120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b/>
          <w:color w:val="000066"/>
          <w:sz w:val="28"/>
          <w:szCs w:val="28"/>
        </w:rPr>
        <w:t>Целевая аудитория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>:</w:t>
      </w:r>
    </w:p>
    <w:p>
      <w:pPr>
        <w:pStyle w:val="11"/>
        <w:pBdr/>
        <w:spacing w:lineRule="auto" w:line="276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 xml:space="preserve">– 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>преподаватели вузов РФ, главным образом – опорных вузов ПАО «Газпром»;</w:t>
      </w:r>
    </w:p>
    <w:p>
      <w:pPr>
        <w:pStyle w:val="11"/>
        <w:pBdr/>
        <w:spacing w:lineRule="auto" w:line="276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 xml:space="preserve">– 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>представители предприятий РФ и РТ, главным образом – ПАО «Газпром», его дочерних обществ и представительств;</w:t>
      </w:r>
    </w:p>
    <w:p>
      <w:pPr>
        <w:pStyle w:val="11"/>
        <w:pBdr/>
        <w:spacing w:lineRule="auto" w:line="276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 xml:space="preserve">– 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>преподаватели КНИТУ;</w:t>
      </w:r>
    </w:p>
    <w:p>
      <w:pPr>
        <w:pStyle w:val="11"/>
        <w:pBdr/>
        <w:spacing w:lineRule="auto" w:line="276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 xml:space="preserve">– 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>представители министерств и ведомств РТ.</w:t>
      </w:r>
    </w:p>
    <w:p>
      <w:pPr>
        <w:pStyle w:val="11"/>
        <w:pBdr/>
        <w:spacing w:lineRule="auto" w:line="276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center"/>
        <w:rPr>
          <w:rFonts w:ascii="Arial Narrow" w:hAnsi="Arial Narrow" w:eastAsia="Times New Roman" w:cs="Times New Roman"/>
          <w:color w:val="000066"/>
          <w:sz w:val="28"/>
          <w:szCs w:val="28"/>
        </w:rPr>
      </w:pPr>
      <w:r>
        <w:rPr>
          <w:rFonts w:eastAsia="Times New Roman" w:cs="Times New Roman" w:ascii="Arial Narrow" w:hAnsi="Arial Narrow"/>
          <w:b/>
          <w:color w:val="000066"/>
          <w:sz w:val="28"/>
          <w:szCs w:val="28"/>
        </w:rPr>
        <w:t>Расписание, модераторы и докладчики</w:t>
      </w:r>
    </w:p>
    <w:p>
      <w:pPr>
        <w:pStyle w:val="11"/>
        <w:pBdr/>
        <w:spacing w:lineRule="auto" w:line="276"/>
        <w:jc w:val="center"/>
        <w:rPr>
          <w:rFonts w:ascii="Arial Narrow" w:hAnsi="Arial Narrow" w:eastAsia="Times New Roman" w:cs="Times New Roman"/>
          <w:color w:val="000066"/>
          <w:sz w:val="28"/>
          <w:szCs w:val="28"/>
        </w:rPr>
      </w:pPr>
      <w:r>
        <w:rPr>
          <w:rFonts w:eastAsia="Times New Roman" w:cs="Times New Roman" w:ascii="Arial Narrow" w:hAnsi="Arial Narrow"/>
          <w:color w:val="000066"/>
          <w:sz w:val="28"/>
          <w:szCs w:val="28"/>
        </w:rPr>
      </w:r>
    </w:p>
    <w:tbl>
      <w:tblPr>
        <w:tblStyle w:val="a5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6"/>
        <w:gridCol w:w="7365"/>
      </w:tblGrid>
      <w:tr>
        <w:trPr>
          <w:trHeight w:val="667" w:hRule="atLeast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spacing w:before="120" w:after="120"/>
              <w:ind w:firstLine="284"/>
              <w:jc w:val="center"/>
              <w:rPr>
                <w:rFonts w:ascii="Arial Narrow" w:hAnsi="Arial Narrow" w:eastAsia="Times New Roman" w:cs="Times New Roman"/>
                <w:color w:val="00206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b/>
                <w:color w:val="002060"/>
                <w:sz w:val="28"/>
                <w:szCs w:val="28"/>
              </w:rPr>
              <w:t>10 ноября 2020 г.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9.00-10.00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Регистрация участников (Б-корпус)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10.00-11.30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Б-акт. зал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</w:rPr>
              <w:t xml:space="preserve">Пленарное заседание. 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</w:rPr>
              <w:t xml:space="preserve">Модератор – врио ректора КНИТУ Ю.М. Казаков 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Приветствия и доклады: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 xml:space="preserve">от IGIP </w:t>
            </w: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>– А. Зафошниг (вице-президент, Австрия) (</w:t>
            </w:r>
            <w:r>
              <w:rPr>
                <w:rFonts w:eastAsia="Times New Roman" w:cs="Times New Roman" w:ascii="Arial Narrow" w:hAnsi="Arial Narrow"/>
                <w:i/>
                <w:color w:val="000000"/>
                <w:sz w:val="28"/>
                <w:szCs w:val="28"/>
                <w:shd w:fill="auto" w:val="clear"/>
              </w:rPr>
              <w:t>Т. Полякова (вице-президент, Россия), М.Ауэр (генеральный секретарь, Австрия), Х. Хорш (президент, Германия), Т. Рештиво (экс-президент, Португалия)</w:t>
            </w: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 xml:space="preserve">), 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>от АИОР – В.М. Кутузов</w:t>
            </w:r>
            <w:r>
              <w:rPr>
                <w:rFonts w:eastAsia="Arial Narrow" w:cs="Arial Narrow" w:ascii="Arial Narrow" w:hAnsi="Arial Narrow"/>
                <w:color w:val="000000"/>
                <w:sz w:val="28"/>
                <w:szCs w:val="28"/>
                <w:shd w:fill="auto" w:val="clear"/>
              </w:rPr>
              <w:t xml:space="preserve"> (</w:t>
            </w: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>член правления, президент СПбГЭТУ «ЛЭТИ», Санкт-Петербург)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>от ПАО «Газпром» – Е.Б. Касьян (начальник департамента ПАО «Газпром», СПб.) (</w:t>
            </w:r>
            <w:r>
              <w:rPr>
                <w:rFonts w:eastAsia="Times New Roman" w:cs="Times New Roman" w:ascii="Arial Narrow" w:hAnsi="Arial Narrow"/>
                <w:i/>
                <w:color w:val="000000"/>
                <w:sz w:val="28"/>
                <w:szCs w:val="28"/>
                <w:shd w:fill="auto" w:val="clear"/>
              </w:rPr>
              <w:t>А.И. Фролков (заместитель начальника управления, СПб.), Р.К. Сабиров (ген. директор «Газпром межрегионгаз Казань»), Р.Р. Усманов (ген. директор «Газпром трансгаз Казань»</w:t>
            </w: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>)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>от Союза ДПО – Н.Н. А</w:t>
            </w: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 xml:space="preserve">ниськина (президент, Ярославль), 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представители опорных вузов ПАО «Газпром», вузов России и Татарстана.</w:t>
            </w:r>
          </w:p>
          <w:p>
            <w:pPr>
              <w:pStyle w:val="11"/>
              <w:widowControl w:val="false"/>
              <w:pBdr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Представители предприятий Татарстана и России.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11.30-12.00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i/>
                <w:i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 xml:space="preserve">Кофе-брейк </w:t>
            </w:r>
            <w:r>
              <w:rPr>
                <w:rFonts w:cs="Arial" w:ascii="Arial Narrow" w:hAnsi="Arial Narrow"/>
                <w:i/>
                <w:sz w:val="28"/>
                <w:szCs w:val="28"/>
              </w:rPr>
              <w:t>(Б-315)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12.00-15.00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Б-акт. зал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Секция 1: Глобальные тренды инженерного образования в условиях цифровой трансформации общества.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i/>
                <w:sz w:val="28"/>
                <w:szCs w:val="28"/>
              </w:rPr>
              <w:t>Модераторы</w:t>
            </w:r>
            <w:r>
              <w:rPr>
                <w:rFonts w:cs="Arial" w:ascii="Arial Narrow" w:hAnsi="Arial Narrow"/>
                <w:b/>
                <w:sz w:val="28"/>
                <w:szCs w:val="28"/>
              </w:rPr>
              <w:t xml:space="preserve"> – В.В. Кондратьев (КНИТУ), Р.З. Богоудинова (КНИТУ)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920" w:leader="none"/>
              </w:tabs>
              <w:ind w:left="1026" w:hanging="1026"/>
              <w:jc w:val="both"/>
              <w:rPr>
                <w:rFonts w:ascii="Arial Narrow" w:hAnsi="Arial Narrow" w:cs="Arial"/>
                <w:sz w:val="28"/>
                <w:szCs w:val="28"/>
                <w:shd w:fill="auto" w:val="clear"/>
              </w:rPr>
            </w:pPr>
            <w:r>
              <w:rPr>
                <w:rFonts w:cs="Arial" w:ascii="Arial Narrow" w:hAnsi="Arial Narrow"/>
                <w:i/>
                <w:sz w:val="28"/>
                <w:szCs w:val="28"/>
                <w:shd w:fill="auto" w:val="clear"/>
              </w:rPr>
              <w:t>Докладчики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 xml:space="preserve">: </w:t>
              <w:tab/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  <w:shd w:fill="auto" w:val="clear"/>
              </w:rPr>
            </w:pP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Ж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  <w:lang w:val="en-US"/>
              </w:rPr>
              <w:t>.-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К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  <w:lang w:val="en-US"/>
              </w:rPr>
              <w:t xml:space="preserve">. 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Квадрадо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  <w:lang w:val="en-US"/>
              </w:rPr>
              <w:t xml:space="preserve"> (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Политехнический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  <w:lang w:val="en-US"/>
              </w:rPr>
              <w:t xml:space="preserve"> 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университет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  <w:lang w:val="en-US"/>
              </w:rPr>
              <w:t xml:space="preserve"> 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Порту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  <w:lang w:val="en-US"/>
              </w:rPr>
              <w:t xml:space="preserve">, 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Португалия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  <w:lang w:val="en-US"/>
              </w:rPr>
              <w:t>) «Contribute to Create a Europe Fit for the Digital Age».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  <w:shd w:fill="auto" w:val="clear"/>
              </w:rPr>
            </w:pP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 xml:space="preserve">В.С. Шейнбаум (РГУ нефти и газа (НИУ) им. И.М. Губкина, Москва) «Инженерная деятельность как объект проектирования». 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С.Г. Карст</w:t>
            </w:r>
            <w:r>
              <w:rPr>
                <w:rFonts w:cs="Arial" w:ascii="Arial Narrow" w:hAnsi="Arial Narrow"/>
                <w:sz w:val="28"/>
                <w:szCs w:val="28"/>
              </w:rPr>
              <w:t>ина, К.М. Маханов, О.Л. Коваленко (Карагандинский университет им. акад. Е.А. Букетова, Казахстан) «Влияние цифровых трансформаций на подготовку инженерных кадров».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Н.Н. Маливанов, Д.П. Данилаев (КНИТУ-КАИ) «Межпредметность как вектор развития инженерного образования».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Е.А. Осиповская, Н.Г. Пшеничный, М. Харахордина (РУДН, Москва, Университет ИТМО, Санкт-Петербург) «Технология проектирования индивидуальных образовательных траекторий в рамках научно-исследовательской практики»</w:t>
            </w:r>
            <w:r>
              <w:rPr>
                <w:rFonts w:cs="Arial" w:ascii="Arial Narrow" w:hAnsi="Arial Narrow"/>
                <w:sz w:val="28"/>
                <w:szCs w:val="28"/>
                <w:highlight w:val="yellow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В.В. Кондратьев, М.Ф. Галиханов «Развитие инженерной педагогики как необходимое условие кадрового обеспечения предприятий НГХК».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Е.И. Черкасова, М.В. Журавлева (КНИТУ) «Актуализация подготовки инженеров-технологов для цифровой экономики».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Н.Б. Пугачева (КГАСУ) «Интеграция в мировой мейнстрим инженерного образования на основе цифровой парадигмы».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И.В. Губин, В.А. Лисовский, А.А. Фоминых (ВятГУ, Киров) «Проектная деятельность как основа формирования инженерного мышления».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Г.Р. Хусаинова, М.Ф. Галиханов (КНИТУ) «Развитие творческих способностей преподавателей инженерных вузов в рамках повышения квалификации в высших учебных заведениях».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Р.З. Богоудинова (КНИТУ) «Социокультурный контекст научно-технического прогресса: вызовы и риски».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П.Н. Осипов, Л.П. Дулалаева (КНИТУ) «Развитие soft skills студентов технического вуза во внеаудиторной деятельности».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Е.Н. Тарасова, О.Ю. Хацринова (КНИТУ) «К вопросу организации проектно-исследовательской деятельности студентов в инженерном вузе».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Е.Е. Буторина, А.Ю. Маляшова (КНИТУ) «Нацеленность современной молодежи на мировые тренды подготовки инженерных кадров».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Г.Р. Стрекалова (КНИТУ) ««Бесшовное» обучение в повышении качества образования».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13.30-15.00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А-кр. зал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</w:rPr>
              <w:t>Мероприя</w:t>
            </w: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  <w:shd w:fill="auto" w:val="clear"/>
              </w:rPr>
              <w:t>тие ПАО «Газпром»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  <w:shd w:fill="auto" w:val="clear"/>
              </w:rPr>
              <w:t>Модераторы – А.И. Фролков (Заместитель начальника Управления – начальник отдела</w:t>
            </w: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  <w:shd w:fill="auto" w:val="clear"/>
              </w:rPr>
              <w:t>ПАО «Газпром», СПб),</w:t>
            </w:r>
            <w:r>
              <w:rPr>
                <w:rFonts w:cs="Arial" w:ascii="Arial Narrow" w:hAnsi="Arial Narrow"/>
                <w:b/>
                <w:sz w:val="28"/>
                <w:szCs w:val="28"/>
                <w:shd w:fill="auto" w:val="clear"/>
              </w:rPr>
              <w:t xml:space="preserve"> М.Ф. Галиханов (КНИТУ),</w:t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  <w:shd w:fill="auto" w:val="clear"/>
              </w:rPr>
              <w:t>Участники – представи</w:t>
            </w: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тели опорных вузов ПАО «Газпром», представители ПАО «Газпром», его дочерних обществ и представительств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15.00-15.30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</w:rPr>
            </w:r>
          </w:p>
          <w:p>
            <w:pPr>
              <w:pStyle w:val="11"/>
              <w:widowControl w:val="false"/>
              <w:pBdr/>
              <w:ind w:left="1026" w:hanging="1026"/>
              <w:jc w:val="both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b/>
                <w:color w:val="000000"/>
                <w:sz w:val="28"/>
                <w:szCs w:val="28"/>
              </w:rPr>
              <w:t xml:space="preserve">Кофе-брейк </w:t>
            </w:r>
            <w:r>
              <w:rPr>
                <w:rFonts w:eastAsia="Times New Roman" w:cs="Times New Roman" w:ascii="Arial Narrow" w:hAnsi="Arial Narrow"/>
                <w:i/>
                <w:color w:val="000000"/>
                <w:sz w:val="28"/>
                <w:szCs w:val="28"/>
              </w:rPr>
              <w:t>(Б-315)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15.45-17.30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Б-акт. зал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Секция 2. Взаимодействие инженерного образования с высокотехнологичными бизнесом и промышленностью.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Модераторы – Р.С. Яруллин (генеральный директор ПАО «Татнефтехиминвестхолдинг», Казань), М.Ф. Галиханов (КНИТУ), Д.В. Елизаров (КНИТУ)</w:t>
            </w:r>
          </w:p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 xml:space="preserve">Докладчики: 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Р.С. Яруллин, Л.Р. Абзалилова «Роль НОЦ «Циркулярная эк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ономика» в системе взаимодействия образования и бизнеса».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  <w:shd w:fill="auto" w:val="clear"/>
              </w:rPr>
            </w:pP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 xml:space="preserve">Н.Н. Аниськина (Союз ДПО России, Ярославль) – </w:t>
            </w:r>
            <w:r>
              <w:rPr>
                <w:rFonts w:cs="Arial" w:ascii="Arial Narrow" w:hAnsi="Arial Narrow"/>
                <w:i/>
                <w:sz w:val="28"/>
                <w:szCs w:val="28"/>
                <w:shd w:fill="auto" w:val="clear"/>
              </w:rPr>
              <w:t>тематика согласуется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>Ю.С. Воротникова (руков</w:t>
            </w:r>
            <w:r>
              <w:rPr>
                <w:rFonts w:cs="Arial" w:ascii="Arial Narrow" w:hAnsi="Arial Narrow"/>
                <w:sz w:val="28"/>
                <w:szCs w:val="28"/>
              </w:rPr>
              <w:t>одитель направления «Работа с вузами, сузами и школами» ООО «СИБУР») «Практики опережающей подготовки: кейс СИБУРа».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В.Г. Мартынов, О.В. Будзинская, В.С. Шейнбаум (РГУ Н и Г, Моск-ва) «Кадровое обеспечение ТЭК как объект проектирования».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Р.Т. Хазиева, З.Х. Павлова, М.И. Хакимьянов (УГНТУ, Уфа) «Преподавание современных компетенций при подготовке электроэнергетиков для предприятий нефтегазового сектора».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В.А. Солодов (ООО «Миррико менеджмент»), Р.И. Саттаров (ООО «СПЭР») «Цифровые платформы как инструмент ускорения коммерциализации научных разработок».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Е.С. Мищенко, Н.Г. Чернышов, Н.В. Молоткова (ТГТУ, Тамбов) «Подготовка инженерных кадров во взаимодействии с профильными предприятиями и комплексная оценка качества данной работы».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С.В. Барабанова, В.М. Токар (КНИТУ) «Новые возможности повышения квалификации преподавателей и студентов в условиях пандемии».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Н.В. Злобина (ТГТУ, Тамбов) «Взаимодействие инженерного образования и промышленных предприятий в контексте наращивания компетенций».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И.В. Павлова (КНИТУ) «Совершенствование инновационной подготовки специалистов для химической промышленности Республики Татарстан».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Н.В. Крайсман, Ф.Т. Шагеева (КНИТУ) «Академическая мобильность как фактор формирования конкурентоспособности будущих инженеров на мировом рынке».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Н.Ш. Мифтахова (КНИТУ) «Химическое обеспечение подготовки специалистов технологического направления».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А.Е. Сережкина (КНИТУ) «Диагностика удовлетворенности трудом сотрудников предприятий НГХК».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А.Н. Рахимуллина (КНИТУ) «Принципы организации территории опережающего социально-экономического развития (ТОСЭР) как основа реализации дуального подхода в деятельности Нижнекамского химико-технологического института (филиала) КНИТУ».</w:t>
            </w:r>
          </w:p>
        </w:tc>
      </w:tr>
      <w:tr>
        <w:trPr>
          <w:trHeight w:val="364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18:00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i/>
                <w:i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Торжественный прием ректора</w:t>
            </w:r>
          </w:p>
        </w:tc>
      </w:tr>
      <w:tr>
        <w:trPr>
          <w:trHeight w:val="708" w:hRule="atLeast"/>
        </w:trPr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spacing w:before="120" w:after="120"/>
              <w:ind w:firstLine="284"/>
              <w:jc w:val="center"/>
              <w:rPr>
                <w:rFonts w:ascii="Arial Narrow" w:hAnsi="Arial Narrow" w:eastAsia="Times New Roman" w:cs="Times New Roman"/>
                <w:color w:val="00206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b/>
                <w:color w:val="002060"/>
                <w:sz w:val="28"/>
                <w:szCs w:val="28"/>
              </w:rPr>
              <w:t>11 ноября 2020 г.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9.00-12.10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Г-109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Секция 3. Цифровая образовательная среда и научно-образовательные проекты, модели цифровых компетенций и механизмы их независимой аттестации.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Модераторы – Г.В. Ившина (КНИТУ-КАИ), Ф.Т. Шагеева (КНИТУ)</w:t>
            </w:r>
          </w:p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 xml:space="preserve">Докладчики: </w:t>
            </w:r>
          </w:p>
          <w:p>
            <w:pPr>
              <w:pStyle w:val="Normal"/>
              <w:widowControl w:val="false"/>
              <w:ind w:firstLine="31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 xml:space="preserve">Г.В. Ившина (советник ректора КНИТУ-КАИ) </w:t>
            </w:r>
            <w:r>
              <w:rPr>
                <w:rFonts w:cs="Arial" w:ascii="Arial Narrow" w:hAnsi="Arial Narrow"/>
                <w:sz w:val="28"/>
                <w:szCs w:val="28"/>
                <w:shd w:fill="auto" w:val="clear"/>
              </w:rPr>
              <w:t xml:space="preserve">– </w:t>
            </w:r>
            <w:r>
              <w:rPr>
                <w:rFonts w:cs="Arial" w:ascii="Arial Narrow" w:hAnsi="Arial Narrow"/>
                <w:i/>
                <w:sz w:val="28"/>
                <w:szCs w:val="28"/>
                <w:shd w:fill="auto" w:val="clear"/>
              </w:rPr>
              <w:t>т</w:t>
            </w:r>
            <w:r>
              <w:rPr>
                <w:rFonts w:cs="Arial" w:ascii="Arial Narrow" w:hAnsi="Arial Narrow"/>
                <w:i/>
                <w:sz w:val="28"/>
                <w:szCs w:val="28"/>
                <w:shd w:fill="auto" w:val="clear"/>
              </w:rPr>
              <w:t>е</w:t>
            </w:r>
            <w:r>
              <w:rPr>
                <w:rFonts w:cs="Arial" w:ascii="Arial Narrow" w:hAnsi="Arial Narrow"/>
                <w:i/>
                <w:sz w:val="28"/>
                <w:szCs w:val="28"/>
                <w:shd w:fill="auto" w:val="clear"/>
              </w:rPr>
              <w:t>матика согласуется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К.К. Зайцева (АИОР, Томск) «Международный проект ENTER и система независимой оценки качества программ повышения квалификации преподавателей».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Ж.Ж. Айнакулов (Казахский национальный университет им. аль-Фараби), Г.Е. Курманкулова (Казахский национальный аграрный университет), Ж.К. Айнакулова (Международный колледж бизнеса и коммуникаций, Казахстан) «Анализ и оценка применения интеллектуальных обучающих систем».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Ж.К. Айнакулова, В.К. Холопов ((Международный колледж бизнеса и коммуникаций, Казахстан), Г.Е. Курманкулова (Казахский национальный аграрный университет), Ж.Ж. Айнакулов (Казахский национальный университет им. аль-Фараби) «Динамическое освещение и тени в 3D».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Д. Карабалаева, Гул. Сейдалиева, Гаух. Сейдалиева (Казахский национальный аграрный университет) «Разработка алгоритма биометрико-нейросетевой аутентификации личности в открытых системах».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Н.П. Гончарук (КНИТУ), Е.И. Хромова (КФУ) «Использование массовых открытых онлайн-курсов как способ повышения качества непрерывного самообразования».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Л.Х. Мажитова, Г.К. Наурызбаева, Н.Н. Калышев (Алматинский Университет Энергетики и Связи имени Г. Даукеева, Казахский Национальный Университет имени аль-Фараби, Казахстан) «Дистанционное обучение физике по формированию технических компетенций студентов технического университета».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А.Р. Нурутдинова (КФУ), Е.Г. Хакимова (КНИТУ), Е.В. Панфилова (АНО ДПО «Международный Академический Центр Образования») «Переосмысление инженерного образования (тематическое исследование: образование после Covid-19: оффлайн vs онлайн)».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Г.Ф. Хасанова, М.Ф. Галиханов (КНИТУ) «Отношение преподавателей технологического университета к онлайн-обучению».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Г.Ф. Хасанова, Л.А. Семенова (КНИТУ) «Использование открытых образовательных ресурсов в процессе преподавания дисциплины «Психология и педагогика» будущим бакалаврам ИТ-сферы».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Ф.С. Шарифуллин, Е.А. Панкова (КНИТУ) «Электронные образовательные ресурсы, применяемые в ФГБОУ ВО «КНИТУ»».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Е.Ф. Бердникова (КНИТУ) «COVID-19 как стимул к цифровой образовательной среде и цифровой экономике».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О.Е. Гаврилова, Л.Л. Никитина, А.В. Гаврилов (КНИТУ) «Педагогический дизайн в условиях дистанционного освоения программ высшего образования».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Е.Г. Хакимова (КНИТУ), Р.А. Хакимов (НИУ ИТМО, Санкт-Петербург) «Повышение качества обучения студентов мультимедийными технологиями».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Л.З. Рязапова, Д.Ш. Урманова (КНИТУ) «Онлайн платформа как инструмент дистанционного образования: проблемы и перспективы».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С.В. Маклецов (КФУ), Т.А. Старшинова, Р.Н. Зарипов (КНИТУ) «Интеграция учебной и профессиональной деятельности в подготовке студентов ИТ-направлений на основе сервиса GITHUB».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Л.Х. Сафиуллина (КНИТУ) «Информационная безопасность и защита авторских прав в рамках проектирования цифровой образовательной среды инженерного вуза».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С.В. Барабанова, Н.Н. Газизова, Н.В. Никонова (КНИТУ) «Новые аспекты интегративной подготовки: роль математики в повышении качества профессионального образования».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Е.В. Волкова (КНИТУ) «Особенности иноязычной подготовки будущих инженеров   в цифровом формате».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Р.Р. Фаткуллина, Л.Н. Абуталипова (КНИТУ) «Практика дистанционного обучения в среде MOODLE».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12.10-13.00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Обед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13.00-16.10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Г-109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Секция 4. Подготовка кадров высшей квалификации для ведущих научных, образовательных организаций и бизнес-сообщества.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Модераторы – П.Н. Осипов (КНИТУ), Г.Ф. Хасанова (КНИТУ)</w:t>
            </w:r>
          </w:p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 xml:space="preserve">Докладчики: 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Т.И. Есполов, К.М. Тиреуов, Е.Т. Омиржанов (КазНАИУ, Республика Казахстан) «Об опыте подготовки кадров высшей квалификации в Казахском национальном аграрном исследовательском университете».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И.Г. Обухова (МФТИ, Москва), И. Скендере (Латвийский университет, Латвия), М. Франкович (Ягеллонский университет, Польша), Ю.Н. Зиятдинова (КНИТУ) «Стратегии проекта MODEST ERAS-MUS+ по модернизации подготовки аспирантов: европейские практики для российских университетов».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Е.Г. Кремнева (Полоцкий ГУ, Республика Беларусь), Э.Р. Кушаева (КНИТУ) «Сравнительный анализ системы подготовки кадров высшей квалификации для науки и промышленности в Российской Федерации и Республике Беларусь».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С.Г. Карстина (Казахстан), О.Н. Цехиель, К. Мачадо (Германия) «Опыт казахстанско-немецкого сотрудничества в развитии научного инструментария оценки программ профессионального образования».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П.Н. Осипов «Подготовка и защита диссертации: о пользе барьеров».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А.И. Романова (КГАСУ) «Подготовка кадров высшей квалификации как фундамент качества строительных работ и услуг».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Л.Р. Газизулина, Э.Э. Валеева (КНИТУ) «Модернизация содержания дисциплины "Иностранный язык" для аспирантов при реализации проекта MODEST ERASMUS+ в КНИТУ».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13.00-16.10</w:t>
            </w:r>
          </w:p>
          <w:p>
            <w:pPr>
              <w:pStyle w:val="11"/>
              <w:widowControl w:val="false"/>
              <w:pBdr/>
              <w:jc w:val="center"/>
              <w:rPr>
                <w:rFonts w:ascii="Arial Narrow" w:hAnsi="Arial Narrow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Arial Narrow" w:hAnsi="Arial Narrow"/>
                <w:color w:val="000000"/>
                <w:sz w:val="28"/>
                <w:szCs w:val="28"/>
              </w:rPr>
              <w:t>Б-акт. зал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Секция 5. Профессиональное образование</w:t>
            </w:r>
          </w:p>
          <w:p>
            <w:pPr>
              <w:pStyle w:val="Normal"/>
              <w:widowControl w:val="false"/>
              <w:ind w:left="1026" w:hanging="1026"/>
              <w:jc w:val="both"/>
              <w:rPr>
                <w:rFonts w:ascii="Arial Narrow" w:hAnsi="Arial Narrow" w:cs="Arial"/>
                <w:b/>
                <w:b/>
                <w:sz w:val="28"/>
                <w:szCs w:val="28"/>
              </w:rPr>
            </w:pPr>
            <w:r>
              <w:rPr>
                <w:rFonts w:cs="Arial" w:ascii="Arial Narrow" w:hAnsi="Arial Narrow"/>
                <w:b/>
                <w:sz w:val="28"/>
                <w:szCs w:val="28"/>
              </w:rPr>
              <w:t>Модератор – Овсиенко Л.В. (КНИТУ)</w:t>
            </w:r>
          </w:p>
          <w:p>
            <w:pPr>
              <w:pStyle w:val="Normal"/>
              <w:widowControl w:val="false"/>
              <w:ind w:left="998" w:hanging="998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ТЕМА: Трансформация моделей и практик непрерывного образования в контексте развития «третьей миссии» вузов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Докладчики: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И.С. Сергеев (ФИРО РАНХ и ГС, Москва) «Профориентация как пространство образовательной подготовки человека к будущему».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А.А. Факторович (НАРК, Москва) «Инструменты национальной системы квалификаций для бизнеса и системы подготовки кадров».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А.В. Барсукова (ГИНФО, Москва) «Развитие профессионального образования в контексте регионально значимых приоритетов».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Л.В.  Овсиенко «Вуз как актор развития региональной среды удержания талантов»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И.В. Зимина (КНИТУ) «Новая грамотность для непрерывного образования: создание интеллектуального пространства и переход к индивидуализации (основные направления изменений)».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Э.Р. Гайнеев (УлГПУ, Ульяновск) «Формирование инновационных компетенций у обучающихся и педагогов в конкурсном движении WorldSkills».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П.Н. Осипов, И.И. Ирисметова (КНИТУ) «Наставничество как фор-ма дополнительного профессионального образования».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А.А. Кайбияйнен, С.Е. Матвеева (КНИТУ) «Чемпионат профессионального мастерства WorldSkills как эффективная технология подготовки инженеров».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А.Р. Ибатуллина, И.В. Красина, М.В. Антонова (КНИТУ) «К вопросу о воспитательной составляющей процесса подготовки кадров высшей квалификации».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Т.А. Старшинова (КНИТУ), Е.Л. Вавилова (Федеральный исследовательский центр «Казанский научный центр Российской академии наук») «Рефлексия процесса обучения как важный аспект интегративной психолого-педагогической подготовки».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Г.М. Рахимова, С.В. Недобежкин (БФ КНИТУ) «Необходимость диверсификации экономики и создание мировой конкурентоспособности российского инженерного образования: на примере города Бугульмы Республики Татарстан».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Л.Р. Ибрашева (КНИТУ) «Система управления развитием талантами естественнонаучной одаренности школьников региона: опыт взаимодействия с профильными предприятиями».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cs="Arial" w:ascii="Arial Narrow" w:hAnsi="Arial Narrow"/>
                <w:sz w:val="28"/>
                <w:szCs w:val="28"/>
              </w:rPr>
              <w:t>А.С. Сухристина (КНИТУ) «Международное академическое сотрудничество как средство продвижения российского инженерного образования в странах Юго-Восточной Азии (на примере Вьетнама)».</w:t>
            </w:r>
          </w:p>
        </w:tc>
      </w:tr>
    </w:tbl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b/>
          <w:color w:val="000066"/>
          <w:sz w:val="28"/>
          <w:szCs w:val="28"/>
        </w:rPr>
        <w:t>Результаты сессии «Синергии-2020»</w:t>
      </w:r>
      <w:r>
        <w:rPr>
          <w:rFonts w:eastAsia="Times New Roman" w:cs="Times New Roman" w:ascii="Arial Narrow" w:hAnsi="Arial Narrow"/>
          <w:color w:val="000000"/>
          <w:sz w:val="28"/>
          <w:szCs w:val="28"/>
        </w:rPr>
        <w:t>: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Участники Пленарной сессии получают сертификаты участника,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Представители ПАО «Газпром» и его дочерних обществ – еще и удостоверение о повышении квалификации.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Доклады могут быть оформлены в виде статей и представлены к публикации в ведущих рецензируемых журналах России – «Высшее образование в России» (ВАК, Scopus), «Казанский педагогический журнал» (ВАК), «Управление устойчивым развитием» (ВАК), «Педагогика и психология образования» (ВАК). По итогам конференции будет издан сборник трудов конференции (РИНЦ).</w:t>
      </w:r>
      <w:r>
        <w:rPr>
          <w:rFonts w:ascii="Arial Narrow" w:hAnsi="Arial Narrow"/>
        </w:rPr>
        <w:t xml:space="preserve"> 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Название докладов и статьи направить на электронную почту synergy-2020@bk.ru</w:t>
      </w:r>
    </w:p>
    <w:p>
      <w:pPr>
        <w:pStyle w:val="11"/>
        <w:pBdr/>
        <w:spacing w:lineRule="auto" w:line="276"/>
        <w:ind w:firstLine="284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Актуальная информация о конференции (программа, требования к оформлению публикаций, приглашенные докладчики и т.д.) – на сайте КНИТУ (https://www.kstu.ru/).</w:t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both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</w:r>
    </w:p>
    <w:p>
      <w:pPr>
        <w:pStyle w:val="11"/>
        <w:pBdr/>
        <w:spacing w:lineRule="auto" w:line="276"/>
        <w:jc w:val="center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Контактная информация:</w:t>
      </w:r>
    </w:p>
    <w:p>
      <w:pPr>
        <w:pStyle w:val="11"/>
        <w:pBdr/>
        <w:spacing w:lineRule="auto" w:line="276"/>
        <w:jc w:val="center"/>
        <w:rPr>
          <w:rFonts w:ascii="Arial Narrow" w:hAnsi="Arial Narrow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тел.: 8(843)279 40 49;</w:t>
      </w:r>
    </w:p>
    <w:p>
      <w:pPr>
        <w:pStyle w:val="11"/>
        <w:pBdr/>
        <w:spacing w:lineRule="auto" w:line="276"/>
        <w:jc w:val="center"/>
        <w:rPr>
          <w:rFonts w:ascii="Arial Narrow" w:hAnsi="Arial Narrow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Arial Narrow" w:hAnsi="Arial Narrow"/>
          <w:color w:val="000000"/>
          <w:sz w:val="28"/>
          <w:szCs w:val="28"/>
        </w:rPr>
        <w:t>Е</w:t>
      </w:r>
      <w:r>
        <w:rPr>
          <w:rFonts w:eastAsia="Times New Roman" w:cs="Times New Roman" w:ascii="Arial Narrow" w:hAnsi="Arial Narrow"/>
          <w:color w:val="000000"/>
          <w:sz w:val="28"/>
          <w:szCs w:val="28"/>
          <w:lang w:val="en-US"/>
        </w:rPr>
        <w:t>-mail: synergy-2020@bk.ru , idpoknitu@mail.ru</w:t>
      </w:r>
    </w:p>
    <w:sectPr>
      <w:type w:val="nextPage"/>
      <w:pgSz w:w="11906" w:h="16838"/>
      <w:pgMar w:left="1701" w:right="1133" w:header="0" w:top="993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ambria">
    <w:charset w:val="cc"/>
    <w:family w:val="roman"/>
    <w:pitch w:val="variable"/>
  </w:font>
  <w:font w:name="Arial Narro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next w:val="11"/>
    <w:qFormat/>
    <w:rsid w:val="004861af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1"/>
    <w:next w:val="11"/>
    <w:qFormat/>
    <w:rsid w:val="004861a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qFormat/>
    <w:rsid w:val="004861a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qFormat/>
    <w:rsid w:val="004861a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qFormat/>
    <w:rsid w:val="004861af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qFormat/>
    <w:rsid w:val="004861af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7"/>
    <w:uiPriority w:val="99"/>
    <w:semiHidden/>
    <w:qFormat/>
    <w:rsid w:val="00a87fb7"/>
    <w:rPr>
      <w:rFonts w:ascii="Tahoma" w:hAnsi="Tahoma" w:cs="Tahoma"/>
      <w:sz w:val="16"/>
      <w:szCs w:val="16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 Unicode M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 Unicode MS"/>
    </w:rPr>
  </w:style>
  <w:style w:type="paragraph" w:styleId="11" w:customStyle="1">
    <w:name w:val="Обычный1"/>
    <w:qFormat/>
    <w:rsid w:val="004861af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Style14">
    <w:name w:val="Title"/>
    <w:basedOn w:val="11"/>
    <w:next w:val="11"/>
    <w:qFormat/>
    <w:rsid w:val="004861af"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11"/>
    <w:next w:val="11"/>
    <w:qFormat/>
    <w:rsid w:val="004861a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87fb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61a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a87fb7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LibreOffice/7.0.2.2$Windows_X86_64 LibreOffice_project/8349ace3c3162073abd90d81fd06dcfb6b36b994</Application>
  <Pages>9</Pages>
  <Words>1702</Words>
  <Characters>13567</Characters>
  <CharactersWithSpaces>15155</CharactersWithSpaces>
  <Paragraphs>165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2020-11-03T06:27:00Z</dcterms:created>
  <dc:creator>test</dc:creator>
  <dc:description/>
  <dc:language>ru-RU</dc:language>
  <cp:lastModifiedBy/>
  <dcterms:modified xsi:type="dcterms:W3CDTF">2020-11-03T15:42:24Z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