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Cs w:val="24"/>
          <w:u w:val="single"/>
          <w:lang w:eastAsia="ru-RU"/>
        </w:rPr>
        <w:t>НАПРАВЛЕНИЯ НАУЧНОЙ ДЕЯТЕЛЬНОСТИ НАУЧНОЙ РОТЫ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 xml:space="preserve">● </w:t>
      </w:r>
      <w:r>
        <w:rPr>
          <w:rFonts w:eastAsia="Times New Roman" w:cs="Times New Roman" w:ascii="Times New Roman" w:hAnsi="Times New Roman"/>
          <w:szCs w:val="24"/>
          <w:lang w:eastAsia="ru-RU"/>
        </w:rPr>
        <w:t xml:space="preserve">разработка и модернизация аппаратуры радиоэлектронного назначения, разработка алгоритмов и математических моделей специального программного обеспечения; </w:t>
        <w:br/>
        <w:t xml:space="preserve">● разработка специальных программных комплексов для обеспечения информационной безопасности автоматизированных систем управления; </w:t>
        <w:br/>
        <w:t>● создание тренажерных комплексов и автоматизированных обучающих систем для подготовки специалистов РЭБ.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Cs w:val="24"/>
          <w:u w:val="single"/>
          <w:lang w:eastAsia="ru-RU"/>
        </w:rPr>
        <w:t>ОСНОВНЫЕ ЗАДАЧИ НАУЧНОЙ РОТЫ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 xml:space="preserve">● </w:t>
      </w:r>
      <w:r>
        <w:rPr>
          <w:rFonts w:eastAsia="Times New Roman" w:cs="Times New Roman" w:ascii="Times New Roman" w:hAnsi="Times New Roman"/>
          <w:szCs w:val="24"/>
          <w:lang w:eastAsia="ru-RU"/>
        </w:rPr>
        <w:t xml:space="preserve">участие в научной работе в интересах Управления начальника войск радиоэлектронной борьбы ВС РФ; </w:t>
        <w:br/>
        <w:t xml:space="preserve">● получение научных результатов при решении прикладных задач в интересах Управления начальника войск радиоэлектронной борьбы ВС РФ; </w:t>
        <w:br/>
        <w:t xml:space="preserve">● подготовка научных кадров для военно-научного и оборонно-промышленного комплексов России. </w:t>
      </w:r>
    </w:p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Cs w:val="24"/>
          <w:u w:val="single"/>
          <w:lang w:eastAsia="ru-RU"/>
        </w:rPr>
        <w:t>ПРИОРИТЕТНЫЕ СПЕЦИАЛЬНОСТИ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</w:r>
    </w:p>
    <w:p>
      <w:pPr>
        <w:sectPr>
          <w:type w:val="continuous"/>
          <w:pgSz w:w="11906" w:h="16838"/>
          <w:pgMar w:left="720" w:right="720" w:gutter="0" w:header="0" w:top="720" w:footer="0" w:bottom="720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Информационная безопасность автоматизированных систем.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Радиотехника.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Радиотехника, системы и устройства передачи, приема и обработки сигналов.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Конструирование и технология электронных средств.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Проектирование и технология радиоэлектронных средств.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Радиоэлектронные системы.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Средства радиоэлектронной борьбы.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Информационная безопасность.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Комплексное обеспечение информационной безопасности автоматизированных систем.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Мехатроника и робототехника.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Конструирование и технология электронных средств.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Роботы и робототехнические системы.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Информационные системы и технологии.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Инфокоммуникационные технологии и системы связи.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Нанотехнологии и микросистемная техника.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Системный анализ и управление.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Calibri" w:cs="Times New Roman"/>
          <w:szCs w:val="28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Информатика и вычислительная техника.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Calibri" w:cs="Times New Roman"/>
          <w:szCs w:val="28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Прикладная информатика.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Calibri" w:cs="Times New Roman"/>
          <w:szCs w:val="28"/>
        </w:rPr>
      </w:pPr>
      <w:r>
        <w:rPr>
          <w:rFonts w:eastAsia="Calibri" w:cs="Times New Roman" w:ascii="Times New Roman" w:hAnsi="Times New Roman"/>
          <w:szCs w:val="28"/>
        </w:rPr>
        <w:t>Радиоэлектронные системы и комплексы.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Calibri" w:cs="Times New Roman"/>
          <w:szCs w:val="28"/>
        </w:rPr>
      </w:pPr>
      <w:r>
        <w:rPr>
          <w:rFonts w:eastAsia="Calibri" w:cs="Times New Roman" w:ascii="Times New Roman" w:hAnsi="Times New Roman"/>
          <w:szCs w:val="28"/>
        </w:rPr>
        <w:t>Информационная безопасность инфокоммуникационных систем.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Calibri" w:cs="Times New Roman"/>
          <w:szCs w:val="28"/>
        </w:rPr>
      </w:pPr>
      <w:r>
        <w:rPr>
          <w:rFonts w:eastAsia="Calibri" w:cs="Times New Roman" w:ascii="Times New Roman" w:hAnsi="Times New Roman"/>
          <w:szCs w:val="28"/>
        </w:rPr>
        <w:t>Математическое обеспечение информационных систем.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Управление в технических системах.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 xml:space="preserve">Физика.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Информационные системы и процессы.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Компьютерная безопасность.</w:t>
      </w:r>
    </w:p>
    <w:p>
      <w:pPr>
        <w:sectPr>
          <w:type w:val="continuous"/>
          <w:pgSz w:w="11906" w:h="16838"/>
          <w:pgMar w:left="720" w:right="720" w:gutter="0" w:header="0" w:top="720" w:footer="0" w:bottom="720"/>
          <w:cols w:num="2" w:space="708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Cs w:val="24"/>
          <w:u w:val="single"/>
          <w:lang w:eastAsia="ru-RU"/>
        </w:rPr>
        <w:t>ДОПОЛНИТЕЛЬНЫЕ СПЕЦИАЛЬНОСТИ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 </w:t>
      </w:r>
    </w:p>
    <w:p>
      <w:pPr>
        <w:sectPr>
          <w:type w:val="continuous"/>
          <w:pgSz w:w="11906" w:h="16838"/>
          <w:pgMar w:left="720" w:right="720" w:gutter="0" w:header="0" w:top="720" w:footer="0" w:bottom="720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Биотехнические системы и технологии.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Программная инженерия.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Техносферная безопасность.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Безопасность информационных технологий в правоохранительной сфере.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Конструкторско-технологическое обеспечение машиностроительных производств.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Организация и управление наукоемкими производствами.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Автоматизация технологических процессов и производств.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Технологические машины и оборудование.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Теплоэнергетика и теплотехника.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Энергетика и электроэнергетика.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Электроника и наноэлектроника.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Баллистика и гидроаэродинамика.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 xml:space="preserve">Наноинженерия.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Конструкторско-технологическое обеспечение машиностроительных производств.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Бизнес-информатика.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Биотехнология.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eastAsia="Times New Roman" w:cs="Times New Roman" w:ascii="Times New Roman" w:hAnsi="Times New Roman"/>
          <w:szCs w:val="24"/>
          <w:lang w:eastAsia="ru-RU"/>
        </w:rPr>
        <w:t>Стандартизация и метрология.</w:t>
      </w:r>
    </w:p>
    <w:p>
      <w:pPr>
        <w:sectPr>
          <w:type w:val="continuous"/>
          <w:pgSz w:w="11906" w:h="16838"/>
          <w:pgMar w:left="720" w:right="720" w:gutter="0" w:header="0" w:top="720" w:footer="0" w:bottom="720"/>
          <w:cols w:num="2" w:space="708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0" w:after="160"/>
        <w:rPr>
          <w:sz w:val="20"/>
        </w:rPr>
      </w:pPr>
      <w:r>
        <w:rPr>
          <w:rFonts w:eastAsia="Times New Roman" w:cs="Times New Roman" w:ascii="Times New Roman" w:hAnsi="Times New Roman"/>
          <w:b/>
          <w:bCs/>
          <w:szCs w:val="24"/>
          <w:u w:val="single"/>
          <w:lang w:eastAsia="ru-RU"/>
        </w:rPr>
        <w:t>Контактная информация</w:t>
      </w:r>
      <w:r>
        <w:rPr>
          <w:rFonts w:eastAsia="Times New Roman" w:cs="Times New Roman" w:ascii="Times New Roman" w:hAnsi="Times New Roman"/>
          <w:szCs w:val="24"/>
          <w:lang w:eastAsia="ru-RU"/>
        </w:rPr>
        <w:t xml:space="preserve">: </w:t>
        <w:br/>
        <w:t xml:space="preserve">e-mail: nauchnajarota@yandex.ru </w:t>
        <w:br/>
        <w:t xml:space="preserve">Тел.: 8 (920) 231-66-51 </w:t>
        <w:br/>
        <w:t xml:space="preserve">Факс: 8 (4752) 44-43-16 </w:t>
        <w:br/>
        <w:t>Почта: Россия, 392006, г. Тамбов, ул. Тамбов-6</w:t>
      </w:r>
    </w:p>
    <w:sectPr>
      <w:type w:val="continuous"/>
      <w:pgSz w:w="11906" w:h="16838"/>
      <w:pgMar w:left="720" w:right="720" w:gutter="0" w:header="0" w:top="720" w:footer="0" w:bottom="72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7c5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636759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973e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Application>LibreOffice/7.4.4.2$Linux_X86_64 LibreOffice_project/85569322deea74ec9134968a29af2df5663baa21</Application>
  <AppVersion>15.0000</AppVersion>
  <Pages>1</Pages>
  <Words>303</Words>
  <Characters>2506</Characters>
  <CharactersWithSpaces>2730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2020-11-06T14:05:00Z</dcterms:created>
  <dc:creator>Gromov</dc:creator>
  <dc:description/>
  <dc:language>ru-RU</dc:language>
  <cp:lastModifiedBy/>
  <dcterms:modified xsi:type="dcterms:W3CDTF">2023-02-11T16:14:28Z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