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F2" w:rsidRPr="00AB11E0" w:rsidRDefault="00D17DF2" w:rsidP="00D17DF2">
      <w:pPr>
        <w:spacing w:after="0"/>
        <w:ind w:firstLine="567"/>
        <w:jc w:val="right"/>
      </w:pPr>
      <w:r w:rsidRPr="00AB11E0">
        <w:t>Приложение 2в</w:t>
      </w:r>
    </w:p>
    <w:p w:rsidR="00D17DF2" w:rsidRPr="00AB11E0" w:rsidRDefault="00D17DF2" w:rsidP="00D17DF2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D17DF2" w:rsidRPr="00AB11E0" w:rsidRDefault="00D17DF2" w:rsidP="00D17DF2">
      <w:pPr>
        <w:spacing w:after="0" w:line="360" w:lineRule="auto"/>
        <w:ind w:firstLine="567"/>
        <w:jc w:val="right"/>
      </w:pP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«___» ___________ 20__ г.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- стороны), заключили настоящий трудовой договор о нижеследующем: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 Общие положения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1.   По настоящему трудовому договору работодатель предоставляет работнику работу в должности </w:t>
      </w:r>
      <w:r w:rsidRPr="00AB11E0">
        <w:rPr>
          <w:rFonts w:ascii="Times New Roman" w:hAnsi="Times New Roman" w:cs="Times New Roman"/>
          <w:b/>
          <w:sz w:val="23"/>
          <w:szCs w:val="23"/>
        </w:rPr>
        <w:t>доцента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 в объеме, предусмотренном индивидуальным планом, утверждаемым в установленном порядке, являющимся неотъемлемой частью настоящего трудового договора.</w:t>
      </w:r>
    </w:p>
    <w:p w:rsidR="00D17DF2" w:rsidRPr="00AB11E0" w:rsidRDefault="00D17DF2" w:rsidP="00D17DF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D17DF2" w:rsidRPr="00AB11E0" w:rsidRDefault="00D17DF2" w:rsidP="00D17DF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D17DF2" w:rsidRPr="00AB11E0" w:rsidRDefault="00D17DF2" w:rsidP="00D17DF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 у работодателя является для работника________________________________</w:t>
      </w:r>
    </w:p>
    <w:p w:rsidR="00D17DF2" w:rsidRPr="00AB11E0" w:rsidRDefault="00D17DF2" w:rsidP="00D17DF2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 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D17DF2" w:rsidRPr="00AB11E0" w:rsidRDefault="00D17DF2" w:rsidP="00D17DF2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  Настоящий трудовой договор заключается:</w:t>
      </w:r>
    </w:p>
    <w:p w:rsidR="00D17DF2" w:rsidRPr="00AB11E0" w:rsidRDefault="00D17DF2" w:rsidP="00D17DF2">
      <w:pPr>
        <w:pStyle w:val="ConsPlusNonformat"/>
        <w:widowControl w:val="0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на_________________________________________________________________________________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ст.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D17DF2" w:rsidRPr="00AB11E0" w:rsidRDefault="00D17DF2" w:rsidP="00D17DF2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D17DF2" w:rsidRPr="00AB11E0" w:rsidRDefault="00D17DF2" w:rsidP="00D17DF2">
      <w:pPr>
        <w:pStyle w:val="ConsPlusNonformat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предусмотренной настоящим трудовым договором;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обеспечение безопасности и условий труда, соответствующих государственным нормативным требованиям охраны труда;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 и качества выполненной работы;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ознакомление с проектами решений администрации университета, касающимися его деятельности;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5.5  внесение на рассмотрение администрации университета предложений по совершенствованию работы;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избрание и участие в выборах в Ученый совет факультета (института), Ученый совет университета;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участие в обсуждении и решении вопросов деятельности университета;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5.10  требование от администрации университета организационного и материально-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технического обеспечения своей деятельности, а также оказания содействия в исполнении своих должностных обязанностей;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5.11  обжалование приказов и распоряжений администрации университета в установленном законодательством порядке;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иные права, предусмотренные трудовым законодательством Российской Федерации, настоящим трудовым договором.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left="710" w:hanging="143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  в соответствии с требованиями федеральных государственных образовательных стандартов, системы менеджмента качества университета и с утвержденной индивидуальной нагрузкой осуществлять планирование, организацию и контроль учебной, воспитательной и учебно-методической работы по курируемым дисциплинам;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  организовывать, руководить и вести научно-исследовательскую работу по профилю кафедры (факультета);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  вести все виды учебных занятий, руководить курсовыми и дипломными проектами и научно-исследовательской работой обучающихся, преимущественно магистров и специалистов;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  руководить, контролировать и направлять деятельность научного студенческого общества;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6.5  осуществлять контроль качества проведенных преподавателями кафедры всех видов учебных занятий по курируемой дисциплине;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6.6  обеспечивать выполнение учебных планов, разработку и выполнение учебных программ;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6.7  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6.8  участвовать в разработке образовательной программы образовательного учреждения;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6.9  разрабатывать рабочие программы по курируемым курсам;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6.10  принимать участие в научно-методической работе кафедры (факультета) в составе методической комиссии по соответствующей специальности;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6.11  участвовать </w:t>
      </w:r>
      <w:proofErr w:type="gramStart"/>
      <w:r w:rsidRPr="00AB11E0">
        <w:rPr>
          <w:sz w:val="23"/>
          <w:szCs w:val="23"/>
        </w:rPr>
        <w:t>в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организуемых</w:t>
      </w:r>
      <w:proofErr w:type="gramEnd"/>
      <w:r w:rsidRPr="00AB11E0">
        <w:rPr>
          <w:sz w:val="23"/>
          <w:szCs w:val="23"/>
        </w:rPr>
        <w:t xml:space="preserve"> в рамках тематики направлений исследований кафедры семинарах, совещаниях и конференциях, включая международные;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6.12  разрабатывать методическое обеспечение курируемых дисциплин;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6.13  принимать участие в повышении квалификации начинающих преподавателей, в овладении ими преподавательским мастерством и профессиональными качествами, оказывать им методическую помощь, организовывать и планировать самостоятельную работу студентов, преимущественно магистров;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6.14  организовывать и заниматься профессиональной ориентацией школьников по специализации кафедры;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6.15  участвовать в пропаганде научно-технических, социально-гуманитарных, экономических и правовых знаний;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6.16</w:t>
      </w:r>
      <w:proofErr w:type="gramStart"/>
      <w:r w:rsidRPr="00AB11E0">
        <w:rPr>
          <w:sz w:val="23"/>
          <w:szCs w:val="23"/>
        </w:rPr>
        <w:t>  Р</w:t>
      </w:r>
      <w:proofErr w:type="gramEnd"/>
      <w:r w:rsidRPr="00AB11E0">
        <w:rPr>
          <w:sz w:val="23"/>
          <w:szCs w:val="23"/>
        </w:rPr>
        <w:t>азвивать материально-техническую базу кафедры, разрабатывать учебники и учебно-методические пособия и описания лабораторных работ и практических занятий по преподаваемым дисциплинам, принимать участие  в воспитательной работе обучающихся;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6.17  руководить работой по подготовке </w:t>
      </w:r>
      <w:proofErr w:type="gramStart"/>
      <w:r w:rsidRPr="00AB11E0">
        <w:rPr>
          <w:sz w:val="23"/>
          <w:szCs w:val="23"/>
        </w:rPr>
        <w:t>научно-педагогических</w:t>
      </w:r>
      <w:proofErr w:type="gramEnd"/>
      <w:r w:rsidRPr="00AB11E0">
        <w:rPr>
          <w:sz w:val="23"/>
          <w:szCs w:val="23"/>
        </w:rPr>
        <w:t xml:space="preserve"> кадров;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6.18  контролировать выполнение обучающимися и работниками кафедры правил по охране труда и пожарной безопасности;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6.19  принимать участие в заседаниях кафедры, совещаниях и других мероприятиях, касающихся организации учебно-методической работы в университете;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6.20  поддерживать учебную дисциплину, контролировать режим посещения занятий </w:t>
      </w:r>
      <w:proofErr w:type="gramStart"/>
      <w:r w:rsidRPr="00AB11E0">
        <w:rPr>
          <w:sz w:val="23"/>
          <w:szCs w:val="23"/>
        </w:rPr>
        <w:t>обучающимися</w:t>
      </w:r>
      <w:proofErr w:type="gramEnd"/>
      <w:r w:rsidRPr="00AB11E0">
        <w:rPr>
          <w:sz w:val="23"/>
          <w:szCs w:val="23"/>
        </w:rPr>
        <w:t xml:space="preserve">; 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6.21  по поручению заведующего кафедрой принимать участие в подготовке и проведении различных мероприятий, включая теоретические и практические конференции, олимпиады для студентов и абитуриентов, в проведении работы по профессиональной ориентации молодежи при поступлении в вуз, а также на подготовительные отделения;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6.22  уведомлять непосредственного руководителя о создании служебных объектов интеллектуальной собственности и совместно с администрацией университета предпринимать необходимые меры к их правовой охране и иной защите прав собственности на эти объекты;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lastRenderedPageBreak/>
        <w:t xml:space="preserve">6.23  бережно относиться к духовным ценностям университета, к его имуществу и имуществу других работников и обучающихся;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6.24  сообщать заведующему кафедрой обо всех выявленных в процессе выполнения должностных обязанностей недостатках в деятельности университета и вносить предложения по их устранению;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6.25  соблюдать права и свободы обучающихся; уважать права и личное достоинство будущих специалистов, проявлять заботу об их культурном развитии;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6.26  следовать общепринятым нравственным и этическим нормам; 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6.27  незамедлительно сообщать заведующему кафедрой или другому представителю администрации университета о возникновении ситуации, представляющей угрозу жизни и здоровью людей, сохранности имущества университета; </w:t>
      </w:r>
    </w:p>
    <w:p w:rsidR="00D17DF2" w:rsidRPr="00AB11E0" w:rsidRDefault="00D17DF2" w:rsidP="00D17DF2">
      <w:pPr>
        <w:pStyle w:val="Default"/>
        <w:ind w:firstLine="567"/>
        <w:rPr>
          <w:sz w:val="23"/>
          <w:szCs w:val="23"/>
        </w:rPr>
      </w:pPr>
      <w:r w:rsidRPr="00AB11E0">
        <w:rPr>
          <w:sz w:val="23"/>
          <w:szCs w:val="23"/>
        </w:rPr>
        <w:t>6.28  соблюдать требования по охране труда и обеспечению безопасности труда;</w:t>
      </w:r>
    </w:p>
    <w:p w:rsidR="00D17DF2" w:rsidRPr="00AB11E0" w:rsidRDefault="00D17DF2" w:rsidP="00D17DF2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>6.29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проректоров,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высшего образования;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</w:t>
      </w:r>
      <w:proofErr w:type="gramEnd"/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 Права и обязанности работодателя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эффективный труд;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7.5  на права, предусмотренные трудовым законодательством Российской Федерации и настоящим трудовым договором.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D17DF2" w:rsidRPr="00AB11E0" w:rsidRDefault="00D17DF2" w:rsidP="00D17DF2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предусмотренную  настоящим трудовым договором;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полном размере и в установленные сроки причитающуюся работнику заработную плату;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8.7  знакомить работника с принимаемыми локальными нормативными актами,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непосредственно связанными с его трудовой деятельностью;</w:t>
      </w:r>
    </w:p>
    <w:p w:rsidR="00D17DF2" w:rsidRPr="00AB11E0" w:rsidRDefault="00D17DF2" w:rsidP="00D17DF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  За выполнение трудовых обязанностей, предусмотренных настоящим трудовым договором, работнику устанавливается заработная плата в размере _______________________________________________________________, которая включает: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D17DF2" w:rsidRPr="00AB11E0" w:rsidRDefault="00D17DF2" w:rsidP="00D17DF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D17DF2" w:rsidRPr="00AB11E0" w:rsidTr="006931E2">
        <w:trPr>
          <w:trHeight w:val="683"/>
        </w:trPr>
        <w:tc>
          <w:tcPr>
            <w:tcW w:w="426" w:type="dxa"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40 %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работу со сведениями, </w:t>
            </w:r>
            <w:r w:rsidRPr="00AB11E0">
              <w:rPr>
                <w:sz w:val="20"/>
                <w:szCs w:val="20"/>
              </w:rPr>
              <w:lastRenderedPageBreak/>
              <w:t>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 xml:space="preserve">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Оформление работнику допуска к секретным сведениям с </w:t>
            </w:r>
            <w:r w:rsidRPr="00AB11E0">
              <w:rPr>
                <w:sz w:val="20"/>
                <w:szCs w:val="20"/>
              </w:rPr>
              <w:lastRenderedPageBreak/>
              <w:t>проведением проверочных мероприятий и работа с секретными сведениями не реже одного раза в квартал</w:t>
            </w:r>
          </w:p>
          <w:p w:rsidR="00D17DF2" w:rsidRPr="00AB11E0" w:rsidRDefault="00D17DF2" w:rsidP="00D17DF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D17DF2" w:rsidRPr="00AB11E0" w:rsidRDefault="00D17DF2" w:rsidP="00D17DF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15 % от должностного </w:t>
            </w:r>
            <w:r w:rsidRPr="00AB11E0">
              <w:rPr>
                <w:sz w:val="20"/>
                <w:szCs w:val="20"/>
              </w:rPr>
              <w:lastRenderedPageBreak/>
              <w:t>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но не реже одного раза в год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5 % от должностного оклада работника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</w:t>
            </w:r>
            <w:r w:rsidRPr="00AB11E0">
              <w:rPr>
                <w:sz w:val="20"/>
                <w:szCs w:val="20"/>
              </w:rPr>
              <w:lastRenderedPageBreak/>
              <w:t>пропорционально содержанию и (или) объему дополнительной работы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расширение зоны обслуживания или увеличение объема 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Выполнение работником дополнительной работы по аналогичной занимаемой 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 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D17DF2" w:rsidRPr="00AB11E0" w:rsidRDefault="00D17DF2" w:rsidP="00D17DF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работу в выходные и нерабочие 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 и отражение в табеле количества отработанного времени, 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Привлечение работника к работе в выходной или 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Издание произведения работника в центральных научных издательствах и 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Издание произведений, в издательствах, не подпадающих под пункт 2 настоящей таблицы, но имеющие гриф,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t>4CU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в течение календарного года, следующего за календарным годом </w:t>
            </w:r>
            <w:r w:rsidRPr="00AB11E0">
              <w:rPr>
                <w:sz w:val="20"/>
                <w:szCs w:val="20"/>
              </w:rPr>
              <w:lastRenderedPageBreak/>
              <w:t>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lastRenderedPageBreak/>
              <w:t>3CU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1CU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экспертам за рецензирование научных монографий, учебников и учебных 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Рецензирование 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Согласно 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совета института 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течение следующего учебного 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10% от должностного оклада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</w:t>
            </w:r>
            <w:r w:rsidRPr="00AB11E0">
              <w:rPr>
                <w:sz w:val="20"/>
                <w:szCs w:val="20"/>
              </w:rPr>
              <w:lastRenderedPageBreak/>
              <w:t>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</w:t>
            </w:r>
            <w:r w:rsidRPr="00AB11E0">
              <w:rPr>
                <w:sz w:val="20"/>
                <w:szCs w:val="20"/>
              </w:rPr>
              <w:lastRenderedPageBreak/>
              <w:t>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Возложение на работника </w:t>
            </w:r>
            <w:r w:rsidRPr="00AB11E0">
              <w:rPr>
                <w:sz w:val="20"/>
                <w:szCs w:val="20"/>
              </w:rPr>
              <w:lastRenderedPageBreak/>
              <w:t>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</w:t>
            </w:r>
            <w:r w:rsidRPr="00AB11E0">
              <w:rPr>
                <w:sz w:val="20"/>
                <w:szCs w:val="20"/>
              </w:rPr>
              <w:lastRenderedPageBreak/>
              <w:t>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6000 рублей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(за 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– председателю 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D17DF2" w:rsidRPr="00AB11E0" w:rsidTr="006931E2"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Возложение на работника обязанностей председателя ДС/ученого секретаря ДС/технического секретаря ДС и превышение количества успешно проведенных защит диссертаций в данном ДС в сравнении со средним количеством защит в ДС университета в календарном 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D17DF2" w:rsidRPr="00AB11E0" w:rsidTr="006931E2">
        <w:trPr>
          <w:trHeight w:val="2085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D17DF2" w:rsidRPr="00AB11E0" w:rsidTr="006931E2">
        <w:trPr>
          <w:trHeight w:val="675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консультантом докторанта и 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45 000 рублей за каждую успешную защиту</w:t>
            </w:r>
          </w:p>
        </w:tc>
      </w:tr>
      <w:tr w:rsidR="00D17DF2" w:rsidRPr="00AB11E0" w:rsidTr="006931E2">
        <w:trPr>
          <w:trHeight w:val="1065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D17DF2" w:rsidRPr="00AB11E0" w:rsidTr="006931E2">
        <w:trPr>
          <w:trHeight w:val="198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Получение работником 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1000 рублей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Отдела патентно-изобретательской 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школьников к участию в конкурсах и 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диплома, грамоты, или благодарственного письма от организаторов мероприятия за подготовку 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года, 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по теме 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мероприятия 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Санкционирование  приказом (распоряжением) ректора организации и проведения международных, городских, республиканских, всероссийских мероприятий, олимпиад, конференций, конкурсов,  показов моделей, выставок</w:t>
            </w:r>
            <w:proofErr w:type="gramEnd"/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t>видеоматерилов</w:t>
            </w:r>
            <w:proofErr w:type="spellEnd"/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D17DF2" w:rsidRPr="00AB11E0" w:rsidRDefault="00D17DF2" w:rsidP="00D17DF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7DF2" w:rsidRPr="00AB11E0" w:rsidTr="006931E2">
        <w:trPr>
          <w:trHeight w:val="483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организации воспитательной работы </w:t>
            </w:r>
            <w:r w:rsidRPr="00AB11E0">
              <w:rPr>
                <w:sz w:val="20"/>
                <w:szCs w:val="20"/>
              </w:rPr>
              <w:lastRenderedPageBreak/>
              <w:t xml:space="preserve">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комиссии по </w:t>
            </w:r>
            <w:r w:rsidRPr="00AB11E0">
              <w:rPr>
                <w:sz w:val="20"/>
                <w:szCs w:val="20"/>
              </w:rPr>
              <w:lastRenderedPageBreak/>
              <w:t>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Выполнение  базового уровня рейтинга факультета по показателям воспитательной работы  в соответствии с Положением </w:t>
            </w:r>
            <w:r w:rsidRPr="00AB11E0">
              <w:rPr>
                <w:sz w:val="20"/>
                <w:szCs w:val="20"/>
              </w:rPr>
              <w:lastRenderedPageBreak/>
              <w:t>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7DF2" w:rsidRPr="00AB11E0" w:rsidTr="006931E2">
        <w:trPr>
          <w:trHeight w:val="870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Учебно-производственном  центре вновь заключенных при непосредственном участии работника договоров с базами практики 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доля студентов очного отделения, составляющая не менее 5% всех студентов очного отделения, направляемых кафедрой на практику, прошедших практику в сторонних </w:t>
            </w:r>
            <w:r w:rsidRPr="00AB11E0">
              <w:rPr>
                <w:sz w:val="20"/>
                <w:szCs w:val="20"/>
              </w:rPr>
              <w:lastRenderedPageBreak/>
              <w:t>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количество откликов предприятий, полученных в рамках проводимого сотрудником мониторинга 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и проведение учебно-методических 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Организация и проведение работником учебно-методических, учебно-научных семинаров, конференций, всероссийских 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</w:t>
            </w:r>
            <w:r w:rsidRPr="00AB11E0">
              <w:rPr>
                <w:sz w:val="20"/>
                <w:szCs w:val="20"/>
              </w:rPr>
              <w:lastRenderedPageBreak/>
              <w:t>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lastRenderedPageBreak/>
              <w:t xml:space="preserve">Подготовка работником проектов приказов о защите 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</w:t>
            </w:r>
            <w:r w:rsidRPr="00AB11E0">
              <w:rPr>
                <w:sz w:val="20"/>
                <w:szCs w:val="20"/>
              </w:rPr>
              <w:lastRenderedPageBreak/>
              <w:t xml:space="preserve">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и утверждение работником  в установленном порядке новых учебных планов 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D17DF2" w:rsidRPr="00AB11E0" w:rsidTr="006931E2">
        <w:trPr>
          <w:trHeight w:val="21"/>
        </w:trPr>
        <w:tc>
          <w:tcPr>
            <w:tcW w:w="426" w:type="dxa"/>
          </w:tcPr>
          <w:p w:rsidR="00D17DF2" w:rsidRPr="00AB11E0" w:rsidRDefault="00D17DF2" w:rsidP="00D17DF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</w:t>
            </w:r>
            <w:r w:rsidRPr="00AB11E0">
              <w:rPr>
                <w:sz w:val="20"/>
                <w:szCs w:val="20"/>
              </w:rPr>
              <w:lastRenderedPageBreak/>
              <w:t xml:space="preserve">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>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Подготовка и оформление работником в установленном </w:t>
            </w:r>
            <w:r w:rsidRPr="00AB11E0">
              <w:rPr>
                <w:sz w:val="20"/>
                <w:szCs w:val="20"/>
              </w:rPr>
              <w:lastRenderedPageBreak/>
              <w:t>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17DF2" w:rsidRPr="00AB11E0" w:rsidRDefault="00D17DF2" w:rsidP="00D17DF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D17DF2" w:rsidRPr="00AB11E0" w:rsidRDefault="00D17DF2" w:rsidP="00D17DF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D17DF2" w:rsidRPr="00AB11E0" w:rsidRDefault="00D17DF2" w:rsidP="00D17DF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D17DF2" w:rsidRPr="00AB11E0" w:rsidRDefault="00D17DF2" w:rsidP="00D17DF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D17DF2" w:rsidRPr="00AB11E0" w:rsidRDefault="00D17DF2" w:rsidP="00D17DF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D17DF2" w:rsidRPr="00AB11E0" w:rsidRDefault="00D17DF2" w:rsidP="00D17DF2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D17DF2" w:rsidRPr="00AB11E0" w:rsidRDefault="00D17DF2" w:rsidP="00D17DF2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министерства образования и науки РТ «За заслуги в образовании».</w:t>
      </w:r>
    </w:p>
    <w:p w:rsidR="00D17DF2" w:rsidRPr="00AB11E0" w:rsidRDefault="00D17DF2" w:rsidP="00D17DF2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 Рабочее время и время отдыха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12.   Работнику устанавливается следующая продолжительность рабочего времени (нормы часов педагогической работы за ставку) ___________________________________________________________________________________.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сокращенная, неполное рабочее время)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14. Работнику устанавливаются следующие особенности режима работы (указать): ___________________________________________________________________________________.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15.   Работнику предоставляется ежегодный основной оплачиваемый отпуск продолжительностью ____________ календарных дней.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 ___________________________________________</w:t>
      </w:r>
      <w:proofErr w:type="gramEnd"/>
    </w:p>
    <w:p w:rsidR="00D17DF2" w:rsidRPr="00AB11E0" w:rsidRDefault="00D17DF2" w:rsidP="00D17DF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___________________________________________________________________________________.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(указать основание установления дополнительного отпуска)</w:t>
      </w:r>
    </w:p>
    <w:p w:rsidR="00D17DF2" w:rsidRPr="00AB11E0" w:rsidRDefault="00D17DF2" w:rsidP="00D17DF2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19.   Работник имеет право на дополнительное страхование на условиях и в порядке, которые установлены ________________________________________________________________.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(вид страхования, наименование локального нормативного акта)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20.   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 договором 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(указать):___________________________________________________________________________.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 Иные условия трудового договора</w:t>
      </w:r>
    </w:p>
    <w:p w:rsidR="00D17DF2" w:rsidRPr="00AB11E0" w:rsidRDefault="00D17DF2" w:rsidP="00D17DF2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21.   Работник обязуется не разглашать охраняемую законом тайну (государственную, коммерческую, служебную и иную тайну), ставшую известной ему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23.   Не допускается использование работником научно-исследовательского оборудования, площадей научных лабораторий, результатов интеллектуальной деятельности университета и рабочего времени в интересах сторонних организаций, не связанных с университетом договорными отношениями.</w:t>
      </w: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работником в связи с исполнением своих трудовых обязанностей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 Ответственность сторон трудового договора</w:t>
      </w:r>
    </w:p>
    <w:p w:rsidR="00D17DF2" w:rsidRPr="00AB11E0" w:rsidRDefault="00D17DF2" w:rsidP="00D17DF2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25.   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26.   За совершение дисциплинарного проступка, то есть за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D17DF2" w:rsidRPr="00AB11E0" w:rsidRDefault="00D17DF2" w:rsidP="00D17DF2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 Изменение и прекращение действия трудового договора</w:t>
      </w:r>
    </w:p>
    <w:p w:rsidR="00D17DF2" w:rsidRPr="00AB11E0" w:rsidRDefault="00D17DF2" w:rsidP="00D17DF2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27.   Изменения могут быть внесены в настоящий трудовой договор: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чем за 2 месяца до начала действия изменений                        (статья 74 Трудового кодекса Российской Федерации).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D17DF2" w:rsidRPr="00AB11E0" w:rsidRDefault="00D17DF2" w:rsidP="00D17DF2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 Заключительные положения</w:t>
      </w:r>
    </w:p>
    <w:p w:rsidR="00D17DF2" w:rsidRPr="00AB11E0" w:rsidRDefault="00D17DF2" w:rsidP="00D17DF2">
      <w:pPr>
        <w:pStyle w:val="ConsPlusNonformat"/>
        <w:ind w:firstLine="567"/>
        <w:rPr>
          <w:rFonts w:ascii="Times New Roman" w:hAnsi="Times New Roman" w:cs="Times New Roman"/>
          <w:sz w:val="23"/>
          <w:szCs w:val="23"/>
        </w:rPr>
      </w:pP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31.   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33.   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D17DF2" w:rsidRPr="00AB11E0" w:rsidRDefault="00D17DF2" w:rsidP="00D17DF2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34.   Один экземпляр хранится у работодателя, второй передается работнику.</w:t>
      </w:r>
    </w:p>
    <w:p w:rsidR="00D17DF2" w:rsidRPr="00AB11E0" w:rsidRDefault="00D17DF2" w:rsidP="00D17DF2">
      <w:pPr>
        <w:spacing w:after="0"/>
        <w:ind w:firstLine="567"/>
        <w:jc w:val="both"/>
        <w:rPr>
          <w:b/>
          <w:sz w:val="23"/>
          <w:szCs w:val="23"/>
        </w:rPr>
      </w:pPr>
    </w:p>
    <w:p w:rsidR="00D17DF2" w:rsidRPr="00AB11E0" w:rsidRDefault="00D17DF2" w:rsidP="00D17DF2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Настоящий трудовой договор вступает в силу с «__» __________ 20__ г.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17DF2" w:rsidRPr="00AB11E0" w:rsidRDefault="00D17DF2" w:rsidP="00D17DF2">
      <w:pPr>
        <w:spacing w:after="0"/>
        <w:ind w:firstLine="567"/>
        <w:jc w:val="center"/>
        <w:rPr>
          <w:b/>
          <w:sz w:val="23"/>
          <w:szCs w:val="23"/>
        </w:rPr>
      </w:pPr>
      <w:r w:rsidRPr="00AB11E0">
        <w:rPr>
          <w:b/>
          <w:sz w:val="23"/>
          <w:szCs w:val="23"/>
        </w:rPr>
        <w:t>Адреса сторон:</w:t>
      </w:r>
    </w:p>
    <w:p w:rsidR="00D17DF2" w:rsidRPr="00AB11E0" w:rsidRDefault="00D17DF2" w:rsidP="00D17DF2">
      <w:pPr>
        <w:spacing w:after="0"/>
        <w:ind w:firstLine="567"/>
        <w:jc w:val="center"/>
        <w:rPr>
          <w:b/>
          <w:sz w:val="23"/>
          <w:szCs w:val="23"/>
        </w:rPr>
      </w:pP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D17DF2" w:rsidRPr="00AB11E0" w:rsidTr="006931E2">
        <w:trPr>
          <w:trHeight w:val="325"/>
        </w:trPr>
        <w:tc>
          <w:tcPr>
            <w:tcW w:w="3794" w:type="dxa"/>
            <w:hideMark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ФГБОУ ВПО «КНИТУ»</w:t>
            </w: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hideMark/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Работник:</w:t>
            </w:r>
          </w:p>
        </w:tc>
      </w:tr>
      <w:tr w:rsidR="00D17DF2" w:rsidRPr="00AB11E0" w:rsidTr="006931E2"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420015, г. Казань,</w:t>
            </w: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Адрес места жительства</w:t>
            </w:r>
          </w:p>
        </w:tc>
      </w:tr>
      <w:tr w:rsidR="00D17DF2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ул. К. Маркса, 68</w:t>
            </w: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</w:tr>
      <w:tr w:rsidR="00D17DF2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ИНН: 1655018804</w:t>
            </w: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Паспорт серия, номер, </w:t>
            </w:r>
          </w:p>
        </w:tc>
      </w:tr>
      <w:tr w:rsidR="00D17DF2" w:rsidRPr="00AB11E0" w:rsidTr="006931E2">
        <w:tc>
          <w:tcPr>
            <w:tcW w:w="3794" w:type="dxa"/>
            <w:tcBorders>
              <w:top w:val="single" w:sz="4" w:space="0" w:color="auto"/>
            </w:tcBorders>
            <w:hideMark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3"/>
                <w:szCs w:val="23"/>
                <w:vertAlign w:val="superscript"/>
              </w:rPr>
              <w:t>выдан</w:t>
            </w:r>
            <w:proofErr w:type="gramEnd"/>
            <w:r w:rsidRPr="00AB11E0">
              <w:rPr>
                <w:sz w:val="23"/>
                <w:szCs w:val="23"/>
                <w:vertAlign w:val="superscript"/>
              </w:rPr>
              <w:t>, дата выдачи</w:t>
            </w:r>
          </w:p>
        </w:tc>
      </w:tr>
      <w:tr w:rsidR="00D17DF2" w:rsidRPr="00AB11E0" w:rsidTr="006931E2">
        <w:tc>
          <w:tcPr>
            <w:tcW w:w="3794" w:type="dxa"/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ИНН</w:t>
            </w:r>
          </w:p>
        </w:tc>
      </w:tr>
      <w:tr w:rsidR="00D17DF2" w:rsidRPr="00AB11E0" w:rsidTr="006931E2">
        <w:trPr>
          <w:trHeight w:val="330"/>
        </w:trPr>
        <w:tc>
          <w:tcPr>
            <w:tcW w:w="3794" w:type="dxa"/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СНИЛС</w:t>
            </w:r>
          </w:p>
        </w:tc>
      </w:tr>
      <w:tr w:rsidR="00D17DF2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D17DF2" w:rsidRPr="00AB11E0" w:rsidRDefault="00D17DF2" w:rsidP="00D17DF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D17DF2" w:rsidRPr="00AB11E0" w:rsidRDefault="00D17DF2" w:rsidP="00D17DF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</w:tr>
    </w:tbl>
    <w:p w:rsidR="00D17DF2" w:rsidRPr="00AB11E0" w:rsidRDefault="00D17DF2" w:rsidP="00D17DF2">
      <w:pPr>
        <w:spacing w:after="0"/>
        <w:ind w:firstLine="567"/>
        <w:rPr>
          <w:sz w:val="23"/>
          <w:szCs w:val="23"/>
          <w:vertAlign w:val="superscript"/>
        </w:rPr>
      </w:pPr>
      <w:r w:rsidRPr="00AB11E0">
        <w:rPr>
          <w:sz w:val="23"/>
          <w:szCs w:val="23"/>
          <w:vertAlign w:val="superscript"/>
        </w:rPr>
        <w:t>(ректор, проректор)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 xml:space="preserve">        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>(работник)</w:t>
      </w:r>
    </w:p>
    <w:p w:rsidR="00D17DF2" w:rsidRPr="00AB11E0" w:rsidRDefault="00D17DF2" w:rsidP="00D17DF2">
      <w:pPr>
        <w:spacing w:after="0"/>
        <w:ind w:firstLine="567"/>
        <w:jc w:val="center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«___»_______________ 201___г.</w:t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  <w:t xml:space="preserve"> </w:t>
      </w:r>
      <w:r w:rsidRPr="00AB11E0">
        <w:rPr>
          <w:rFonts w:eastAsia="Calibri"/>
          <w:b/>
          <w:sz w:val="23"/>
          <w:szCs w:val="23"/>
        </w:rPr>
        <w:t>«___»_______________ 201___г.;</w:t>
      </w:r>
    </w:p>
    <w:p w:rsidR="00D17DF2" w:rsidRPr="00AB11E0" w:rsidRDefault="00D17DF2" w:rsidP="00D17DF2">
      <w:pPr>
        <w:spacing w:after="0"/>
        <w:ind w:firstLine="567"/>
        <w:rPr>
          <w:b/>
          <w:sz w:val="23"/>
          <w:szCs w:val="23"/>
        </w:rPr>
      </w:pPr>
    </w:p>
    <w:p w:rsidR="00D17DF2" w:rsidRPr="00AB11E0" w:rsidRDefault="00D17DF2" w:rsidP="00D17DF2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3"/>
          <w:szCs w:val="23"/>
        </w:rPr>
        <w:t>н(</w:t>
      </w:r>
      <w:proofErr w:type="gramEnd"/>
      <w:r w:rsidRPr="00AB11E0">
        <w:rPr>
          <w:rFonts w:eastAsia="Calibri"/>
          <w:b/>
          <w:sz w:val="23"/>
          <w:szCs w:val="23"/>
        </w:rPr>
        <w:t>а):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>___________/_________________________________________________________________</w:t>
      </w:r>
    </w:p>
    <w:p w:rsidR="00D17DF2" w:rsidRPr="00AB11E0" w:rsidRDefault="00D17DF2" w:rsidP="00D17DF2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  <w:t>ФИО работника полностью</w:t>
      </w:r>
    </w:p>
    <w:p w:rsidR="00D17DF2" w:rsidRPr="00AB11E0" w:rsidRDefault="00D17DF2" w:rsidP="00D17DF2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</w:p>
    <w:p w:rsidR="00D17DF2" w:rsidRPr="00AB11E0" w:rsidRDefault="00D17DF2" w:rsidP="00D17DF2">
      <w:pPr>
        <w:spacing w:after="0"/>
        <w:ind w:firstLine="567"/>
        <w:rPr>
          <w:b/>
          <w:sz w:val="23"/>
          <w:szCs w:val="23"/>
        </w:rPr>
      </w:pPr>
    </w:p>
    <w:p w:rsidR="00D17DF2" w:rsidRPr="00AB11E0" w:rsidRDefault="00D17DF2" w:rsidP="00D17DF2">
      <w:pPr>
        <w:spacing w:after="0"/>
        <w:ind w:firstLine="567"/>
        <w:rPr>
          <w:b/>
          <w:sz w:val="23"/>
          <w:szCs w:val="23"/>
        </w:rPr>
      </w:pPr>
    </w:p>
    <w:p w:rsidR="004772D6" w:rsidRDefault="00D17DF2" w:rsidP="00D17DF2">
      <w:pPr>
        <w:spacing w:after="0"/>
      </w:pPr>
      <w:r w:rsidRPr="00AB11E0">
        <w:br w:type="page"/>
      </w:r>
    </w:p>
    <w:sectPr w:rsidR="004772D6" w:rsidSect="00D17DF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5CA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1271F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F2"/>
    <w:rsid w:val="000357E2"/>
    <w:rsid w:val="000B032D"/>
    <w:rsid w:val="0031314F"/>
    <w:rsid w:val="003A4712"/>
    <w:rsid w:val="00465A3F"/>
    <w:rsid w:val="004772D6"/>
    <w:rsid w:val="004804A4"/>
    <w:rsid w:val="00493ADD"/>
    <w:rsid w:val="005B5A9A"/>
    <w:rsid w:val="00625B37"/>
    <w:rsid w:val="006337AF"/>
    <w:rsid w:val="00673A95"/>
    <w:rsid w:val="00697BFB"/>
    <w:rsid w:val="006D2902"/>
    <w:rsid w:val="008951B8"/>
    <w:rsid w:val="00957FE4"/>
    <w:rsid w:val="00A30729"/>
    <w:rsid w:val="00A62079"/>
    <w:rsid w:val="00A869CA"/>
    <w:rsid w:val="00AC1506"/>
    <w:rsid w:val="00D17DF2"/>
    <w:rsid w:val="00D94F7D"/>
    <w:rsid w:val="00DF68E0"/>
    <w:rsid w:val="00E60C3E"/>
    <w:rsid w:val="00E86EE0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DF2"/>
    <w:pPr>
      <w:ind w:left="720"/>
      <w:contextualSpacing/>
    </w:pPr>
  </w:style>
  <w:style w:type="character" w:styleId="a4">
    <w:name w:val="Hyperlink"/>
    <w:basedOn w:val="a0"/>
    <w:uiPriority w:val="99"/>
    <w:rsid w:val="00D17DF2"/>
    <w:rPr>
      <w:color w:val="0000FF"/>
      <w:u w:val="single"/>
    </w:rPr>
  </w:style>
  <w:style w:type="paragraph" w:customStyle="1" w:styleId="ConsPlusNonformat">
    <w:name w:val="ConsPlusNonformat"/>
    <w:uiPriority w:val="99"/>
    <w:rsid w:val="00D17D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17DF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6516</Words>
  <Characters>37147</Characters>
  <Application>Microsoft Office Word</Application>
  <DocSecurity>0</DocSecurity>
  <Lines>309</Lines>
  <Paragraphs>87</Paragraphs>
  <ScaleCrop>false</ScaleCrop>
  <Company>KNITU</Company>
  <LinksUpToDate>false</LinksUpToDate>
  <CharactersWithSpaces>43576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2015-08-21T11:17:00Z</dcterms:created>
  <dcterms:modified xsi:type="dcterms:W3CDTF">2015-08-21T11:18:00Z</dcterms:modified>
</cp:coreProperties>
</file>