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A8" w:rsidRDefault="00C117CC" w:rsidP="005E6D6B">
      <w:pPr>
        <w:ind w:left="5812"/>
        <w:rPr>
          <w:rFonts w:ascii="PT Astra Serif" w:hAnsi="PT Astra Serif" w:cs="PT Astra Serif"/>
          <w:szCs w:val="28"/>
        </w:rPr>
      </w:pPr>
      <w:bookmarkStart w:id="0" w:name="_GoBack"/>
      <w:bookmarkEnd w:id="0"/>
      <w:r>
        <w:rPr>
          <w:rFonts w:ascii="PT Astra Serif" w:eastAsia="PT Astra Serif" w:hAnsi="PT Astra Serif" w:cs="PT Astra Serif"/>
          <w:sz w:val="28"/>
          <w:szCs w:val="28"/>
        </w:rPr>
        <w:t>Приложение 2</w:t>
      </w:r>
    </w:p>
    <w:p w:rsidR="006477A8" w:rsidRDefault="00C117CC" w:rsidP="005E6D6B">
      <w:pPr>
        <w:ind w:left="5812"/>
        <w:rPr>
          <w:rFonts w:ascii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к письму ООО «Газпром трансгаз Екатеринбург»</w:t>
      </w:r>
    </w:p>
    <w:p w:rsidR="006477A8" w:rsidRDefault="00C117CC" w:rsidP="005E6D6B">
      <w:pPr>
        <w:ind w:left="5812"/>
        <w:rPr>
          <w:rFonts w:ascii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 ___.</w:t>
      </w:r>
      <w:r w:rsidR="005E6D6B">
        <w:rPr>
          <w:rFonts w:ascii="PT Astra Serif" w:eastAsia="PT Astra Serif" w:hAnsi="PT Astra Serif" w:cs="PT Astra Serif"/>
          <w:sz w:val="28"/>
          <w:szCs w:val="28"/>
        </w:rPr>
        <w:t>03</w:t>
      </w:r>
      <w:r>
        <w:rPr>
          <w:rFonts w:ascii="PT Astra Serif" w:eastAsia="PT Astra Serif" w:hAnsi="PT Astra Serif" w:cs="PT Astra Serif"/>
          <w:sz w:val="28"/>
          <w:szCs w:val="28"/>
        </w:rPr>
        <w:t>.20</w:t>
      </w:r>
      <w:r w:rsidR="005E6D6B">
        <w:rPr>
          <w:rFonts w:ascii="PT Astra Serif" w:eastAsia="PT Astra Serif" w:hAnsi="PT Astra Serif" w:cs="PT Astra Serif"/>
          <w:sz w:val="28"/>
          <w:szCs w:val="28"/>
        </w:rPr>
        <w:t>24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№ </w:t>
      </w:r>
      <w:r w:rsidR="005E6D6B">
        <w:rPr>
          <w:rFonts w:ascii="PT Astra Serif" w:eastAsia="PT Astra Serif" w:hAnsi="PT Astra Serif" w:cs="PT Astra Serif"/>
          <w:sz w:val="28"/>
          <w:szCs w:val="28"/>
        </w:rPr>
        <w:t>005/201-_</w:t>
      </w:r>
      <w:r>
        <w:rPr>
          <w:rFonts w:ascii="PT Astra Serif" w:eastAsia="PT Astra Serif" w:hAnsi="PT Astra Serif" w:cs="PT Astra Serif"/>
          <w:sz w:val="28"/>
          <w:szCs w:val="28"/>
        </w:rPr>
        <w:t>___</w:t>
      </w:r>
    </w:p>
    <w:p w:rsidR="006477A8" w:rsidRDefault="006477A8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6477A8" w:rsidRDefault="006477A8">
      <w:pPr>
        <w:ind w:left="5580"/>
        <w:rPr>
          <w:rFonts w:ascii="PT Astra Serif" w:hAnsi="PT Astra Serif" w:cs="PT Astra Serif"/>
          <w:sz w:val="28"/>
          <w:szCs w:val="28"/>
        </w:rPr>
      </w:pPr>
    </w:p>
    <w:p w:rsidR="006477A8" w:rsidRDefault="00C117CC">
      <w:pPr>
        <w:pStyle w:val="2"/>
        <w:spacing w:before="0" w:after="0"/>
        <w:ind w:firstLine="709"/>
        <w:jc w:val="center"/>
        <w:rPr>
          <w:rFonts w:ascii="PT Astra Serif" w:hAnsi="PT Astra Serif" w:cs="PT Astra Serif"/>
          <w:bCs w:val="0"/>
          <w:i w:val="0"/>
          <w:iCs w:val="0"/>
          <w:color w:val="000000"/>
        </w:rPr>
      </w:pPr>
      <w:bookmarkStart w:id="1" w:name="_Toc331066005"/>
      <w:r>
        <w:rPr>
          <w:rFonts w:ascii="PT Astra Serif" w:eastAsia="PT Astra Serif" w:hAnsi="PT Astra Serif" w:cs="PT Astra Serif"/>
          <w:bCs w:val="0"/>
          <w:i w:val="0"/>
          <w:iCs w:val="0"/>
          <w:color w:val="000000"/>
        </w:rPr>
        <w:t>Требования к содержанию тезисов доклада</w:t>
      </w:r>
      <w:bookmarkEnd w:id="1"/>
      <w:r>
        <w:rPr>
          <w:rStyle w:val="af4"/>
          <w:rFonts w:ascii="PT Astra Serif" w:eastAsia="PT Astra Serif" w:hAnsi="PT Astra Serif" w:cs="PT Astra Serif"/>
          <w:i w:val="0"/>
          <w:iCs w:val="0"/>
          <w:color w:val="000000"/>
        </w:rPr>
        <w:footnoteReference w:id="1"/>
      </w:r>
    </w:p>
    <w:p w:rsidR="006477A8" w:rsidRDefault="00C117CC">
      <w:pPr>
        <w:tabs>
          <w:tab w:val="left" w:pos="1260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>Тезисы доклада участника Конференции являются кратким авторефератом текста доклада, отражающим основные цели, проблемы, задачи проведенного исследования, результаты которого выносятся на защиту в качестве исследовательского материала для публичных слушаний с последующей оценкой актуальности исследования и его результатов компетентной комиссией из числа внутренних экспертов Общества.</w:t>
      </w:r>
    </w:p>
    <w:p w:rsidR="006477A8" w:rsidRDefault="00C117CC">
      <w:pPr>
        <w:tabs>
          <w:tab w:val="left" w:pos="1260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>В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целях стандартизации формы представления тезисов доклада участникам Конференции рекомендуется придерживаться следующего формата:</w:t>
      </w:r>
    </w:p>
    <w:p w:rsidR="006477A8" w:rsidRDefault="00C117CC">
      <w:pPr>
        <w:tabs>
          <w:tab w:val="left" w:pos="1260"/>
          <w:tab w:val="left" w:pos="1418"/>
          <w:tab w:val="left" w:pos="1843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2.1.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>Формулировка и обоснование актуальности проблемы научно-технического исследования примерно 30% от объема тезисов в печатных знаках;</w:t>
      </w:r>
    </w:p>
    <w:p w:rsidR="006477A8" w:rsidRDefault="00C117CC">
      <w:pPr>
        <w:tabs>
          <w:tab w:val="left" w:pos="1260"/>
          <w:tab w:val="left" w:pos="1418"/>
          <w:tab w:val="left" w:pos="1843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2.2.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>Описание проработки проблемы путем анализа принятых вариантов решения указанной проблемы со ссылкой на работы других исследователей и другие разработки, а также нормативно-правовую базу по указанной теме - примерно 40% текста тезисов. (В тексте тезисов должно быть сделано не менее 2 ссылок на работы, связанные с темой доклада, включая действующие нормативно-правовые акты);</w:t>
      </w:r>
    </w:p>
    <w:p w:rsidR="006477A8" w:rsidRDefault="00C117CC">
      <w:pPr>
        <w:tabs>
          <w:tab w:val="left" w:pos="1260"/>
          <w:tab w:val="left" w:pos="1418"/>
          <w:tab w:val="left" w:pos="1843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2.3.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>Предложение рекомендаций путем описания приемов, методов, технологий решения проблемы научно-технического исследования или внесения рекомендаций по снижению влияния проблемы на ключевые показатели эффективности Общества - примерно 30% текста тезисов.</w:t>
      </w:r>
    </w:p>
    <w:p w:rsidR="006477A8" w:rsidRDefault="006477A8">
      <w:pPr>
        <w:tabs>
          <w:tab w:val="left" w:pos="1418"/>
          <w:tab w:val="left" w:pos="1843"/>
        </w:tabs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6477A8" w:rsidRDefault="00C117CC">
      <w:pPr>
        <w:pStyle w:val="2"/>
        <w:spacing w:before="0" w:after="0"/>
        <w:ind w:firstLine="709"/>
        <w:jc w:val="center"/>
        <w:rPr>
          <w:rFonts w:ascii="PT Astra Serif" w:hAnsi="PT Astra Serif" w:cs="PT Astra Serif"/>
          <w:bCs w:val="0"/>
          <w:i w:val="0"/>
          <w:iCs w:val="0"/>
          <w:color w:val="000000"/>
        </w:rPr>
      </w:pPr>
      <w:r>
        <w:rPr>
          <w:rFonts w:ascii="PT Astra Serif" w:eastAsia="PT Astra Serif" w:hAnsi="PT Astra Serif" w:cs="PT Astra Serif"/>
          <w:bCs w:val="0"/>
          <w:i w:val="0"/>
          <w:iCs w:val="0"/>
          <w:color w:val="000000"/>
        </w:rPr>
        <w:t>Требования к оформлению текста тезисов доклада</w:t>
      </w:r>
    </w:p>
    <w:p w:rsidR="006477A8" w:rsidRDefault="00C117CC">
      <w:pPr>
        <w:tabs>
          <w:tab w:val="left" w:pos="1418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1. Объем тезисов к докладу составляет 1-2 страницы (формат А4).</w:t>
      </w:r>
    </w:p>
    <w:p w:rsidR="006477A8" w:rsidRDefault="00C117CC">
      <w:pPr>
        <w:keepNext/>
        <w:tabs>
          <w:tab w:val="left" w:pos="1418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2. Каждая страница документа должна иметь следующие размеры полей: левое – 2,5 см; правое – 1,5 см; верхнее – 2 см; нижнее – 2 см.</w:t>
      </w:r>
    </w:p>
    <w:p w:rsidR="006477A8" w:rsidRDefault="00C117CC">
      <w:pPr>
        <w:tabs>
          <w:tab w:val="left" w:pos="1418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3. Текст представляется в </w:t>
      </w:r>
      <w:r>
        <w:rPr>
          <w:rFonts w:ascii="PT Astra Serif" w:eastAsia="PT Astra Serif" w:hAnsi="PT Astra Serif" w:cs="PT Astra Serif"/>
          <w:sz w:val="28"/>
          <w:szCs w:val="28"/>
          <w:lang w:val="en-US"/>
        </w:rPr>
        <w:t>MS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  <w:lang w:val="en-US"/>
        </w:rPr>
        <w:t>Word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6.0 (7.0) </w:t>
      </w:r>
      <w:r>
        <w:rPr>
          <w:rFonts w:ascii="PT Astra Serif" w:eastAsia="PT Astra Serif" w:hAnsi="PT Astra Serif" w:cs="PT Astra Serif"/>
          <w:sz w:val="28"/>
          <w:szCs w:val="28"/>
          <w:lang w:val="en-US"/>
        </w:rPr>
        <w:t>for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  <w:lang w:val="en-US"/>
        </w:rPr>
        <w:t>Windows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6477A8" w:rsidRDefault="00C117CC">
      <w:pPr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4.</w:t>
      </w:r>
      <w:r>
        <w:rPr>
          <w:rFonts w:ascii="PT Astra Serif" w:eastAsia="PT Astra Serif" w:hAnsi="PT Astra Serif" w:cs="PT Astra Serif"/>
          <w:sz w:val="28"/>
          <w:szCs w:val="28"/>
        </w:rPr>
        <w:tab/>
        <w:t xml:space="preserve">Шрифт текста –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Times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New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Roman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, 14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пт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>; межстрочный интервал – одинарный (для заголовка и таблицы с регалиями) и полуторный (для текста тезисов).</w:t>
      </w:r>
    </w:p>
    <w:p w:rsidR="006477A8" w:rsidRDefault="00C117CC">
      <w:pPr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5.</w:t>
      </w:r>
      <w:r>
        <w:rPr>
          <w:rFonts w:ascii="PT Astra Serif" w:eastAsia="PT Astra Serif" w:hAnsi="PT Astra Serif" w:cs="PT Astra Serif"/>
          <w:sz w:val="28"/>
          <w:szCs w:val="28"/>
        </w:rPr>
        <w:tab/>
        <w:t xml:space="preserve">Заголовок – жирным шрифтом, заглавными буквами, выравнивание по центру. Информация о докладчике/содокладчике оформляется в таблице. </w:t>
      </w:r>
    </w:p>
    <w:p w:rsidR="006477A8" w:rsidRDefault="00C117CC">
      <w:pPr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6. Разрыв между таблицей с регалиями и текстом тезисов в одну строку, текст тезисов выравнивается по ширине.</w:t>
      </w:r>
    </w:p>
    <w:p w:rsidR="006477A8" w:rsidRDefault="00C117CC">
      <w:pPr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7.</w:t>
      </w:r>
      <w:r>
        <w:rPr>
          <w:rFonts w:ascii="PT Astra Serif" w:eastAsia="PT Astra Serif" w:hAnsi="PT Astra Serif" w:cs="PT Astra Serif"/>
          <w:sz w:val="28"/>
          <w:szCs w:val="28"/>
        </w:rPr>
        <w:tab/>
        <w:t>Абзацный отступ 1,25 см.</w:t>
      </w:r>
    </w:p>
    <w:p w:rsidR="006477A8" w:rsidRDefault="00C117CC">
      <w:pPr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8.</w:t>
      </w:r>
      <w:r>
        <w:rPr>
          <w:rFonts w:ascii="PT Astra Serif" w:eastAsia="PT Astra Serif" w:hAnsi="PT Astra Serif" w:cs="PT Astra Serif"/>
          <w:sz w:val="28"/>
          <w:szCs w:val="28"/>
        </w:rPr>
        <w:tab/>
        <w:t>Если представление доклада участником производится на английском языке, тезисы доклада оформляются в 2-х экземплярах на русском и английском языках.</w:t>
      </w:r>
      <w:r>
        <w:rPr>
          <w:rFonts w:ascii="PT Astra Serif" w:eastAsia="PT Astra Serif" w:hAnsi="PT Astra Serif" w:cs="PT Astra Serif"/>
          <w:bCs/>
          <w:sz w:val="28"/>
          <w:szCs w:val="28"/>
        </w:rPr>
        <w:br w:type="page" w:clear="all"/>
      </w:r>
    </w:p>
    <w:p w:rsidR="006477A8" w:rsidRDefault="00C117CC">
      <w:pPr>
        <w:tabs>
          <w:tab w:val="left" w:pos="9356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Образец</w:t>
      </w:r>
    </w:p>
    <w:p w:rsidR="006477A8" w:rsidRDefault="00C117CC">
      <w:pPr>
        <w:tabs>
          <w:tab w:val="left" w:pos="9356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оформления тезисов доклада участника </w:t>
      </w:r>
    </w:p>
    <w:p w:rsidR="006477A8" w:rsidRDefault="006477A8">
      <w:pPr>
        <w:tabs>
          <w:tab w:val="left" w:pos="9356"/>
        </w:tabs>
        <w:spacing w:line="288" w:lineRule="auto"/>
        <w:ind w:firstLine="709"/>
        <w:jc w:val="center"/>
        <w:rPr>
          <w:rFonts w:ascii="PT Astra Serif" w:hAnsi="PT Astra Serif" w:cs="PT Astra Serif"/>
          <w:b/>
          <w:caps/>
          <w:color w:val="000000"/>
          <w:sz w:val="28"/>
          <w:szCs w:val="28"/>
        </w:rPr>
      </w:pPr>
    </w:p>
    <w:p w:rsidR="006477A8" w:rsidRDefault="00C117CC">
      <w:pPr>
        <w:tabs>
          <w:tab w:val="left" w:pos="9356"/>
        </w:tabs>
        <w:spacing w:line="36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  <w:r>
        <w:rPr>
          <w:rFonts w:ascii="PT Astra Serif" w:eastAsia="PT Astra Serif" w:hAnsi="PT Astra Serif" w:cs="PT Astra Serif"/>
          <w:b/>
          <w:caps/>
          <w:color w:val="000000"/>
          <w:sz w:val="28"/>
          <w:szCs w:val="28"/>
        </w:rPr>
        <w:t xml:space="preserve">МЕТОДЫ СОВЕРШЕНСТВОВАНИЯ СИСТЕМЫ РАСЧЕТА ТРАНСПОРТА ГАЗА: ВНЕДРЕНИЕ СИСТЕМЫ ЦЕНТРАЛИЗОВАННОЙ </w:t>
      </w:r>
      <w:r>
        <w:rPr>
          <w:rFonts w:ascii="PT Astra Serif" w:eastAsia="PT Astra Serif" w:hAnsi="PT Astra Serif" w:cs="PT Astra Serif"/>
          <w:b/>
          <w:caps/>
          <w:sz w:val="28"/>
          <w:szCs w:val="28"/>
        </w:rPr>
        <w:t>АВТОМАТИЗАЦИИ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6"/>
        <w:gridCol w:w="6920"/>
      </w:tblGrid>
      <w:tr w:rsidR="006477A8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A8" w:rsidRDefault="00C117CC">
            <w:pPr>
              <w:tabs>
                <w:tab w:val="left" w:pos="9356"/>
              </w:tabs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Докладчик: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Ф.И.О: (полностью): ____________________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Направление подготовки докладчика: _________________________________________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Курс, </w:t>
            </w:r>
            <w:proofErr w:type="gramStart"/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ВУЗ:_</w:t>
            </w:r>
            <w:proofErr w:type="gramEnd"/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____________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Авторский вклад докладчика (%):</w:t>
            </w:r>
            <w:r>
              <w:rPr>
                <w:rStyle w:val="af4"/>
                <w:rFonts w:ascii="PT Astra Serif" w:eastAsia="PT Astra Serif" w:hAnsi="PT Astra Serif" w:cs="PT Astra Serif"/>
                <w:sz w:val="28"/>
                <w:szCs w:val="28"/>
              </w:rPr>
              <w:footnoteReference w:id="2"/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75%</w:t>
            </w:r>
          </w:p>
        </w:tc>
      </w:tr>
      <w:tr w:rsidR="006477A8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A8" w:rsidRDefault="00C117CC">
            <w:pPr>
              <w:tabs>
                <w:tab w:val="left" w:pos="9356"/>
              </w:tabs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Содокладчик: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Ф.И.О: (полностью): ____________________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Направление подготовки докладчика: _________________________________________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Курс, ВУЗ ______________________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Авторский вклад содокладчика (%): 25%</w:t>
            </w:r>
          </w:p>
        </w:tc>
      </w:tr>
      <w:tr w:rsidR="006477A8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A8" w:rsidRDefault="00C117CC">
            <w:pPr>
              <w:tabs>
                <w:tab w:val="left" w:pos="9356"/>
              </w:tabs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Ключевые показатели эффективности</w:t>
            </w:r>
            <w:r>
              <w:rPr>
                <w:rStyle w:val="af4"/>
                <w:rFonts w:ascii="PT Astra Serif" w:eastAsia="PT Astra Serif" w:hAnsi="PT Astra Serif" w:cs="PT Astra Serif"/>
                <w:b/>
                <w:sz w:val="28"/>
                <w:szCs w:val="28"/>
              </w:rPr>
              <w:footnoteReference w:id="3"/>
            </w: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: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1. Обеспечение промышленной безопасности и охраны труда</w:t>
            </w:r>
          </w:p>
          <w:p w:rsidR="006477A8" w:rsidRDefault="00C117CC">
            <w:pPr>
              <w:tabs>
                <w:tab w:val="left" w:pos="9356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2. Продление срока службы оборудования</w:t>
            </w:r>
          </w:p>
        </w:tc>
      </w:tr>
    </w:tbl>
    <w:p w:rsidR="006477A8" w:rsidRDefault="006477A8">
      <w:pPr>
        <w:tabs>
          <w:tab w:val="left" w:pos="9356"/>
        </w:tabs>
        <w:jc w:val="both"/>
        <w:rPr>
          <w:rFonts w:ascii="PT Astra Serif" w:hAnsi="PT Astra Serif" w:cs="PT Astra Serif"/>
          <w:sz w:val="28"/>
          <w:szCs w:val="28"/>
        </w:rPr>
      </w:pPr>
    </w:p>
    <w:p w:rsidR="006477A8" w:rsidRDefault="00C117CC">
      <w:pPr>
        <w:tabs>
          <w:tab w:val="left" w:pos="935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Текст тезисов</w:t>
      </w:r>
    </w:p>
    <w:p w:rsidR="006477A8" w:rsidRDefault="006477A8">
      <w:pPr>
        <w:tabs>
          <w:tab w:val="left" w:pos="1260"/>
        </w:tabs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6477A8" w:rsidRDefault="006477A8">
      <w:pPr>
        <w:pStyle w:val="25"/>
        <w:ind w:right="0" w:firstLine="709"/>
        <w:rPr>
          <w:rFonts w:ascii="PT Astra Serif" w:hAnsi="PT Astra Serif" w:cs="PT Astra Serif"/>
          <w:szCs w:val="28"/>
        </w:rPr>
      </w:pPr>
    </w:p>
    <w:sectPr w:rsidR="006477A8">
      <w:headerReference w:type="default" r:id="rId7"/>
      <w:pgSz w:w="11906" w:h="16838"/>
      <w:pgMar w:top="851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CA" w:rsidRDefault="006C74CA">
      <w:r>
        <w:separator/>
      </w:r>
    </w:p>
  </w:endnote>
  <w:endnote w:type="continuationSeparator" w:id="0">
    <w:p w:rsidR="006C74CA" w:rsidRDefault="006C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CA" w:rsidRDefault="006C74CA">
      <w:r>
        <w:separator/>
      </w:r>
    </w:p>
  </w:footnote>
  <w:footnote w:type="continuationSeparator" w:id="0">
    <w:p w:rsidR="006C74CA" w:rsidRDefault="006C74CA">
      <w:r>
        <w:continuationSeparator/>
      </w:r>
    </w:p>
  </w:footnote>
  <w:footnote w:id="1">
    <w:p w:rsidR="006477A8" w:rsidRDefault="00C117CC">
      <w:pPr>
        <w:pStyle w:val="af2"/>
      </w:pPr>
      <w:r>
        <w:rPr>
          <w:rStyle w:val="af4"/>
        </w:rPr>
        <w:footnoteRef/>
      </w:r>
      <w:r>
        <w:t xml:space="preserve"> Файл направляемых тезисов доклада в электронном виде должен иметь название </w:t>
      </w:r>
      <w:proofErr w:type="spellStart"/>
      <w:r>
        <w:rPr>
          <w:i/>
        </w:rPr>
        <w:t>Иванов_И_И_Тезисы</w:t>
      </w:r>
      <w:proofErr w:type="spellEnd"/>
      <w:r>
        <w:rPr>
          <w:i/>
        </w:rPr>
        <w:t>.</w:t>
      </w:r>
      <w:r>
        <w:rPr>
          <w:i/>
          <w:lang w:val="en-US"/>
        </w:rPr>
        <w:t>doc</w:t>
      </w:r>
    </w:p>
  </w:footnote>
  <w:footnote w:id="2">
    <w:p w:rsidR="006477A8" w:rsidRDefault="00C117CC">
      <w:pPr>
        <w:pStyle w:val="af2"/>
        <w:ind w:right="566"/>
        <w:jc w:val="both"/>
      </w:pPr>
      <w:r>
        <w:rPr>
          <w:rStyle w:val="af4"/>
        </w:rPr>
        <w:footnoteRef/>
      </w:r>
      <w:r>
        <w:t xml:space="preserve"> Авторский вклад участника конференции в подготовку текста доклада (тезисов доклада) рассчитывается по следующей формуле: 25% - формулировка актуальной проблемы исследования, 25% -  предложение практических методов, приемов, технологий решения проблемы (устранения ее последствий), 25% - апробация предлагаемых решений в производственной практике, 25% - оформление результатов исследования в виде доклада (тезисов доклада).</w:t>
      </w:r>
    </w:p>
  </w:footnote>
  <w:footnote w:id="3">
    <w:p w:rsidR="006477A8" w:rsidRDefault="00C117CC">
      <w:pPr>
        <w:tabs>
          <w:tab w:val="left" w:pos="1418"/>
        </w:tabs>
        <w:jc w:val="both"/>
      </w:pPr>
      <w:r>
        <w:rPr>
          <w:rStyle w:val="af4"/>
        </w:rPr>
        <w:footnoteRef/>
      </w:r>
      <w:r>
        <w:t xml:space="preserve"> Ключевые показатели эффективности: </w:t>
      </w:r>
    </w:p>
    <w:p w:rsidR="006477A8" w:rsidRDefault="00C117CC">
      <w:pPr>
        <w:tabs>
          <w:tab w:val="left" w:pos="1418"/>
        </w:tabs>
        <w:jc w:val="both"/>
      </w:pPr>
      <w:r>
        <w:t>- обеспечение бесперебойной работы единой системы газоснабжения;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увеличение прибыли Предприятия;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снижение издержек Предприятия;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обеспечение промышленной безопасности и охраны труда;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увеличение производительности труда;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сокращение временных затрат на осуществление работ;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повышение качества осуществляемых работ;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продление срока службы оборудования;</w:t>
      </w:r>
    </w:p>
    <w:p w:rsidR="006477A8" w:rsidRDefault="00C117CC">
      <w:pPr>
        <w:tabs>
          <w:tab w:val="left" w:pos="1418"/>
          <w:tab w:val="left" w:pos="1985"/>
        </w:tabs>
        <w:jc w:val="both"/>
        <w:rPr>
          <w:color w:val="000000"/>
        </w:rPr>
      </w:pPr>
      <w:r>
        <w:rPr>
          <w:color w:val="000000"/>
        </w:rPr>
        <w:t>- юридическая защита интересов Предприятия;</w:t>
      </w:r>
    </w:p>
    <w:p w:rsidR="006477A8" w:rsidRDefault="00C117CC">
      <w:pPr>
        <w:tabs>
          <w:tab w:val="left" w:pos="1418"/>
          <w:tab w:val="left" w:pos="1985"/>
        </w:tabs>
        <w:jc w:val="both"/>
      </w:pPr>
      <w:r>
        <w:t>- повышение эффективности политики управления человеческими ресурсами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A8" w:rsidRDefault="00C117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6D6B">
      <w:rPr>
        <w:noProof/>
      </w:rPr>
      <w:t>2</w:t>
    </w:r>
    <w:r>
      <w:fldChar w:fldCharType="end"/>
    </w:r>
  </w:p>
  <w:p w:rsidR="006477A8" w:rsidRDefault="006477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793"/>
    <w:multiLevelType w:val="hybridMultilevel"/>
    <w:tmpl w:val="420E7238"/>
    <w:lvl w:ilvl="0" w:tplc="2EACF498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vertAlign w:val="baseline"/>
      </w:rPr>
    </w:lvl>
    <w:lvl w:ilvl="1" w:tplc="0AACACA8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3F028778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6828361E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78084688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287EE840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7D1E76D4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2B3CE226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4B66E9A0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 w15:restartNumberingAfterBreak="0">
    <w:nsid w:val="1A0D0A22"/>
    <w:multiLevelType w:val="hybridMultilevel"/>
    <w:tmpl w:val="C582A5DE"/>
    <w:lvl w:ilvl="0" w:tplc="9F46BD4A">
      <w:start w:val="1"/>
      <w:numFmt w:val="decimal"/>
      <w:lvlText w:val="%1."/>
      <w:lvlJc w:val="left"/>
      <w:pPr>
        <w:ind w:left="1262" w:hanging="360"/>
      </w:pPr>
      <w:rPr>
        <w:rFonts w:cs="Times New Roman"/>
      </w:rPr>
    </w:lvl>
    <w:lvl w:ilvl="1" w:tplc="6F58EC54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DCE266C4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DA92961C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19A1B10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BC0813D8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B2CE296E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B812301E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4D44A162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F3F7D8C"/>
    <w:multiLevelType w:val="multilevel"/>
    <w:tmpl w:val="6D4C68B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2836" w:hanging="709"/>
      </w:pPr>
    </w:lvl>
    <w:lvl w:ilvl="4">
      <w:start w:val="1"/>
      <w:numFmt w:val="decimal"/>
      <w:lvlText w:val="%1.%2.%3.%4.%5"/>
      <w:lvlJc w:val="left"/>
      <w:pPr>
        <w:ind w:left="3545" w:hanging="709"/>
      </w:pPr>
    </w:lvl>
    <w:lvl w:ilvl="5">
      <w:start w:val="1"/>
      <w:numFmt w:val="decimal"/>
      <w:lvlText w:val="%1.%2.%3.%4.%5.%6"/>
      <w:lvlJc w:val="left"/>
      <w:pPr>
        <w:ind w:left="4254" w:hanging="709"/>
      </w:pPr>
    </w:lvl>
    <w:lvl w:ilvl="6">
      <w:start w:val="1"/>
      <w:numFmt w:val="decimal"/>
      <w:lvlText w:val="%1.%2.%3.%4.%5.%6.%7"/>
      <w:lvlJc w:val="left"/>
      <w:pPr>
        <w:ind w:left="4963" w:hanging="709"/>
      </w:pPr>
    </w:lvl>
    <w:lvl w:ilvl="7">
      <w:start w:val="1"/>
      <w:numFmt w:val="decimal"/>
      <w:lvlText w:val="%1.%2.%3.%4.%5.%6.%7.%8"/>
      <w:lvlJc w:val="left"/>
      <w:pPr>
        <w:ind w:left="5672" w:hanging="709"/>
      </w:pPr>
    </w:lvl>
    <w:lvl w:ilvl="8">
      <w:start w:val="1"/>
      <w:numFmt w:val="decimal"/>
      <w:lvlText w:val="%1.%2.%3.%4.%5.%6.%7.%8.%9"/>
      <w:lvlJc w:val="left"/>
      <w:pPr>
        <w:ind w:left="6381" w:hanging="709"/>
      </w:pPr>
    </w:lvl>
  </w:abstractNum>
  <w:abstractNum w:abstractNumId="3" w15:restartNumberingAfterBreak="0">
    <w:nsid w:val="26E97898"/>
    <w:multiLevelType w:val="hybridMultilevel"/>
    <w:tmpl w:val="7066819A"/>
    <w:lvl w:ilvl="0" w:tplc="969688BE">
      <w:start w:val="1"/>
      <w:numFmt w:val="upperRoman"/>
      <w:lvlText w:val="%1."/>
      <w:lvlJc w:val="left"/>
      <w:pPr>
        <w:ind w:left="1556" w:hanging="720"/>
      </w:pPr>
      <w:rPr>
        <w:b/>
      </w:rPr>
    </w:lvl>
    <w:lvl w:ilvl="1" w:tplc="4AE4648E">
      <w:start w:val="1"/>
      <w:numFmt w:val="lowerLetter"/>
      <w:lvlText w:val="%2."/>
      <w:lvlJc w:val="left"/>
      <w:pPr>
        <w:ind w:left="1916" w:hanging="360"/>
      </w:pPr>
    </w:lvl>
    <w:lvl w:ilvl="2" w:tplc="3460B35C">
      <w:start w:val="1"/>
      <w:numFmt w:val="lowerRoman"/>
      <w:lvlText w:val="%3."/>
      <w:lvlJc w:val="right"/>
      <w:pPr>
        <w:ind w:left="2636" w:hanging="180"/>
      </w:pPr>
    </w:lvl>
    <w:lvl w:ilvl="3" w:tplc="65C6BE80">
      <w:start w:val="1"/>
      <w:numFmt w:val="decimal"/>
      <w:lvlText w:val="%4."/>
      <w:lvlJc w:val="left"/>
      <w:pPr>
        <w:ind w:left="3356" w:hanging="360"/>
      </w:pPr>
    </w:lvl>
    <w:lvl w:ilvl="4" w:tplc="EB18B6B4">
      <w:start w:val="1"/>
      <w:numFmt w:val="lowerLetter"/>
      <w:lvlText w:val="%5."/>
      <w:lvlJc w:val="left"/>
      <w:pPr>
        <w:ind w:left="4076" w:hanging="360"/>
      </w:pPr>
    </w:lvl>
    <w:lvl w:ilvl="5" w:tplc="AA96EDB6">
      <w:start w:val="1"/>
      <w:numFmt w:val="lowerRoman"/>
      <w:lvlText w:val="%6."/>
      <w:lvlJc w:val="right"/>
      <w:pPr>
        <w:ind w:left="4796" w:hanging="180"/>
      </w:pPr>
    </w:lvl>
    <w:lvl w:ilvl="6" w:tplc="1280FEA8">
      <w:start w:val="1"/>
      <w:numFmt w:val="decimal"/>
      <w:lvlText w:val="%7."/>
      <w:lvlJc w:val="left"/>
      <w:pPr>
        <w:ind w:left="5516" w:hanging="360"/>
      </w:pPr>
    </w:lvl>
    <w:lvl w:ilvl="7" w:tplc="2ADCAB6A">
      <w:start w:val="1"/>
      <w:numFmt w:val="lowerLetter"/>
      <w:lvlText w:val="%8."/>
      <w:lvlJc w:val="left"/>
      <w:pPr>
        <w:ind w:left="6236" w:hanging="360"/>
      </w:pPr>
    </w:lvl>
    <w:lvl w:ilvl="8" w:tplc="71287F26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4AA1419E"/>
    <w:multiLevelType w:val="hybridMultilevel"/>
    <w:tmpl w:val="22F2F7A4"/>
    <w:lvl w:ilvl="0" w:tplc="D89EAC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1C04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52F2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CB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4B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2C6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08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B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657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72D1C"/>
    <w:multiLevelType w:val="hybridMultilevel"/>
    <w:tmpl w:val="88D035C2"/>
    <w:lvl w:ilvl="0" w:tplc="E2FA1BBC">
      <w:start w:val="1"/>
      <w:numFmt w:val="decimal"/>
      <w:lvlText w:val="%1."/>
      <w:lvlJc w:val="left"/>
      <w:pPr>
        <w:ind w:left="836" w:hanging="360"/>
      </w:pPr>
    </w:lvl>
    <w:lvl w:ilvl="1" w:tplc="62888FB6">
      <w:start w:val="1"/>
      <w:numFmt w:val="decimal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2" w:tplc="A59E1E58">
      <w:start w:val="1"/>
      <w:numFmt w:val="lowerRoman"/>
      <w:lvlText w:val="%3."/>
      <w:lvlJc w:val="right"/>
      <w:pPr>
        <w:ind w:left="2276" w:hanging="180"/>
      </w:pPr>
    </w:lvl>
    <w:lvl w:ilvl="3" w:tplc="79D097F4">
      <w:start w:val="1"/>
      <w:numFmt w:val="decimal"/>
      <w:lvlText w:val="%4."/>
      <w:lvlJc w:val="left"/>
      <w:pPr>
        <w:ind w:left="2996" w:hanging="360"/>
      </w:pPr>
    </w:lvl>
    <w:lvl w:ilvl="4" w:tplc="E9F84FA0">
      <w:start w:val="1"/>
      <w:numFmt w:val="lowerLetter"/>
      <w:lvlText w:val="%5."/>
      <w:lvlJc w:val="left"/>
      <w:pPr>
        <w:ind w:left="3716" w:hanging="360"/>
      </w:pPr>
    </w:lvl>
    <w:lvl w:ilvl="5" w:tplc="FEFA5720">
      <w:start w:val="1"/>
      <w:numFmt w:val="lowerRoman"/>
      <w:lvlText w:val="%6."/>
      <w:lvlJc w:val="right"/>
      <w:pPr>
        <w:ind w:left="4436" w:hanging="180"/>
      </w:pPr>
    </w:lvl>
    <w:lvl w:ilvl="6" w:tplc="CC8A76E6">
      <w:start w:val="1"/>
      <w:numFmt w:val="decimal"/>
      <w:lvlText w:val="%7."/>
      <w:lvlJc w:val="left"/>
      <w:pPr>
        <w:ind w:left="5156" w:hanging="360"/>
      </w:pPr>
    </w:lvl>
    <w:lvl w:ilvl="7" w:tplc="F36040C6">
      <w:start w:val="1"/>
      <w:numFmt w:val="lowerLetter"/>
      <w:lvlText w:val="%8."/>
      <w:lvlJc w:val="left"/>
      <w:pPr>
        <w:ind w:left="5876" w:hanging="360"/>
      </w:pPr>
    </w:lvl>
    <w:lvl w:ilvl="8" w:tplc="3E88582C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52402C5D"/>
    <w:multiLevelType w:val="hybridMultilevel"/>
    <w:tmpl w:val="29E6A27E"/>
    <w:lvl w:ilvl="0" w:tplc="50A89A8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C74E63C">
      <w:start w:val="1"/>
      <w:numFmt w:val="lowerLetter"/>
      <w:lvlText w:val="%2."/>
      <w:lvlJc w:val="left"/>
      <w:pPr>
        <w:ind w:left="1440" w:hanging="360"/>
      </w:pPr>
    </w:lvl>
    <w:lvl w:ilvl="2" w:tplc="22C66710">
      <w:start w:val="1"/>
      <w:numFmt w:val="lowerRoman"/>
      <w:lvlText w:val="%3."/>
      <w:lvlJc w:val="right"/>
      <w:pPr>
        <w:ind w:left="2160" w:hanging="180"/>
      </w:pPr>
    </w:lvl>
    <w:lvl w:ilvl="3" w:tplc="315AAFD0">
      <w:start w:val="1"/>
      <w:numFmt w:val="decimal"/>
      <w:lvlText w:val="%4."/>
      <w:lvlJc w:val="left"/>
      <w:pPr>
        <w:ind w:left="2880" w:hanging="360"/>
      </w:pPr>
    </w:lvl>
    <w:lvl w:ilvl="4" w:tplc="587ABB7C">
      <w:start w:val="1"/>
      <w:numFmt w:val="lowerLetter"/>
      <w:lvlText w:val="%5."/>
      <w:lvlJc w:val="left"/>
      <w:pPr>
        <w:ind w:left="3600" w:hanging="360"/>
      </w:pPr>
    </w:lvl>
    <w:lvl w:ilvl="5" w:tplc="FCBC668E">
      <w:start w:val="1"/>
      <w:numFmt w:val="lowerRoman"/>
      <w:lvlText w:val="%6."/>
      <w:lvlJc w:val="right"/>
      <w:pPr>
        <w:ind w:left="4320" w:hanging="180"/>
      </w:pPr>
    </w:lvl>
    <w:lvl w:ilvl="6" w:tplc="E21E5DC0">
      <w:start w:val="1"/>
      <w:numFmt w:val="decimal"/>
      <w:lvlText w:val="%7."/>
      <w:lvlJc w:val="left"/>
      <w:pPr>
        <w:ind w:left="5040" w:hanging="360"/>
      </w:pPr>
    </w:lvl>
    <w:lvl w:ilvl="7" w:tplc="22183C58">
      <w:start w:val="1"/>
      <w:numFmt w:val="lowerLetter"/>
      <w:lvlText w:val="%8."/>
      <w:lvlJc w:val="left"/>
      <w:pPr>
        <w:ind w:left="5760" w:hanging="360"/>
      </w:pPr>
    </w:lvl>
    <w:lvl w:ilvl="8" w:tplc="5240F7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0E4B"/>
    <w:multiLevelType w:val="hybridMultilevel"/>
    <w:tmpl w:val="03D2D8DC"/>
    <w:lvl w:ilvl="0" w:tplc="F8AA53BE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178CC1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EA91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EE27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F420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2B8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72D3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9EC4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621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A8"/>
    <w:rsid w:val="005E6D6B"/>
    <w:rsid w:val="006477A8"/>
    <w:rsid w:val="006C74CA"/>
    <w:rsid w:val="00B67CD5"/>
    <w:rsid w:val="00C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5B461-086A-49CE-BB61-4CBAE5F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widowControl w:val="0"/>
      <w:ind w:left="720"/>
      <w:contextualSpacing/>
    </w:pPr>
    <w:rPr>
      <w:rFonts w:eastAsia="WenQuanYi Micro Hei" w:cs="Mangal"/>
      <w:sz w:val="24"/>
      <w:szCs w:val="21"/>
      <w:lang w:eastAsia="zh-CN" w:bidi="hi-I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25">
    <w:name w:val="Body Text Indent 2"/>
    <w:basedOn w:val="a"/>
    <w:link w:val="26"/>
    <w:pPr>
      <w:ind w:right="-425" w:firstLine="567"/>
      <w:jc w:val="both"/>
    </w:pPr>
    <w:rPr>
      <w:sz w:val="28"/>
    </w:rPr>
  </w:style>
  <w:style w:type="paragraph" w:customStyle="1" w:styleId="Normal1">
    <w:name w:val="Normal1"/>
    <w:pPr>
      <w:widowControl w:val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6">
    <w:name w:val="Текст концевой сноски Знак"/>
    <w:basedOn w:val="a0"/>
    <w:link w:val="af5"/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character" w:customStyle="1" w:styleId="extended-textshort">
    <w:name w:val="extended-text__short"/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af3">
    <w:name w:val="Текст сноски Знак"/>
    <w:link w:val="af2"/>
    <w:semiHidden/>
  </w:style>
  <w:style w:type="character" w:customStyle="1" w:styleId="26">
    <w:name w:val="Основной текст с отступом 2 Знак"/>
    <w:link w:val="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УТГ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Gordina_A_N</dc:creator>
  <cp:lastModifiedBy>Филиппова Наталья Александровна</cp:lastModifiedBy>
  <cp:revision>2</cp:revision>
  <dcterms:created xsi:type="dcterms:W3CDTF">2024-03-27T07:29:00Z</dcterms:created>
  <dcterms:modified xsi:type="dcterms:W3CDTF">2024-03-27T07:29:00Z</dcterms:modified>
  <cp:version>983040</cp:version>
</cp:coreProperties>
</file>