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6A4CDF">
        <w:rPr>
          <w:b/>
          <w:noProof/>
          <w:sz w:val="32"/>
          <w:szCs w:val="32"/>
        </w:rPr>
        <w:t>4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F32CCA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977DA7" w:rsidRPr="00977DA7">
              <w:rPr>
                <w:rFonts w:ascii="Arial" w:hAnsi="Arial" w:cs="Arial"/>
                <w:noProof/>
                <w:sz w:val="22"/>
                <w:szCs w:val="22"/>
              </w:rPr>
              <w:t>имени С.П. Королёва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6A4CD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172928"/>
    <w:rsid w:val="001E2109"/>
    <w:rsid w:val="00425F8C"/>
    <w:rsid w:val="00481840"/>
    <w:rsid w:val="0057225D"/>
    <w:rsid w:val="006A4CDF"/>
    <w:rsid w:val="006A628B"/>
    <w:rsid w:val="0081387E"/>
    <w:rsid w:val="008873BA"/>
    <w:rsid w:val="00977DA7"/>
    <w:rsid w:val="00D03B36"/>
    <w:rsid w:val="00D92EBC"/>
    <w:rsid w:val="00E04650"/>
    <w:rsid w:val="00E37192"/>
    <w:rsid w:val="00EB37DD"/>
    <w:rsid w:val="00F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4A43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4</cp:revision>
  <cp:lastPrinted>2020-03-24T10:36:00Z</cp:lastPrinted>
  <dcterms:created xsi:type="dcterms:W3CDTF">2023-07-06T07:20:00Z</dcterms:created>
  <dcterms:modified xsi:type="dcterms:W3CDTF">2024-05-20T09:42:00Z</dcterms:modified>
</cp:coreProperties>
</file>