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0F8" w:rsidRPr="00D970F8" w:rsidRDefault="00D970F8" w:rsidP="00D970F8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970F8">
        <w:rPr>
          <w:rFonts w:ascii="Times New Roman" w:eastAsia="Calibri" w:hAnsi="Times New Roman" w:cs="Times New Roman"/>
          <w:b/>
          <w:sz w:val="24"/>
          <w:szCs w:val="24"/>
          <w:u w:val="single"/>
        </w:rPr>
        <w:t>Дисциплины программы: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970F8" w:rsidRPr="00D970F8" w:rsidTr="00CD4DEE">
        <w:trPr>
          <w:trHeight w:val="300"/>
        </w:trPr>
        <w:tc>
          <w:tcPr>
            <w:tcW w:w="4672" w:type="dxa"/>
            <w:vAlign w:val="center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97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Экономика и государственная политика</w:t>
            </w:r>
          </w:p>
        </w:tc>
        <w:tc>
          <w:tcPr>
            <w:tcW w:w="4673" w:type="dxa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0F8"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Центральные банки, макроэкономическая политика и финансовые рынки</w:t>
            </w:r>
          </w:p>
        </w:tc>
      </w:tr>
      <w:tr w:rsidR="00D970F8" w:rsidRPr="00D970F8" w:rsidTr="00CD4DEE">
        <w:trPr>
          <w:trHeight w:val="100"/>
        </w:trPr>
        <w:tc>
          <w:tcPr>
            <w:tcW w:w="4672" w:type="dxa"/>
            <w:vMerge w:val="restart"/>
            <w:vAlign w:val="center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97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Финансы</w:t>
            </w:r>
            <w:r w:rsidRPr="00D970F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97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 бухгалтерия</w:t>
            </w:r>
          </w:p>
        </w:tc>
        <w:tc>
          <w:tcPr>
            <w:tcW w:w="4673" w:type="dxa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0F8">
              <w:rPr>
                <w:rFonts w:ascii="Times New Roman" w:eastAsia="Calibri" w:hAnsi="Times New Roman" w:cs="Times New Roman"/>
                <w:sz w:val="24"/>
                <w:szCs w:val="24"/>
              </w:rPr>
              <w:t>Производные инструменты и управление рисками</w:t>
            </w:r>
          </w:p>
        </w:tc>
      </w:tr>
      <w:tr w:rsidR="00D970F8" w:rsidRPr="00D970F8" w:rsidTr="00CD4DEE">
        <w:trPr>
          <w:trHeight w:val="100"/>
        </w:trPr>
        <w:tc>
          <w:tcPr>
            <w:tcW w:w="4672" w:type="dxa"/>
            <w:vMerge/>
            <w:vAlign w:val="center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970F8">
              <w:rPr>
                <w:rFonts w:ascii="Times New Roman" w:eastAsia="Calibri" w:hAnsi="Times New Roman" w:cs="Times New Roman"/>
                <w:sz w:val="24"/>
                <w:szCs w:val="24"/>
              </w:rPr>
              <w:t>Инвестиционно-банковское дело</w:t>
            </w:r>
          </w:p>
        </w:tc>
      </w:tr>
      <w:tr w:rsidR="00D970F8" w:rsidRPr="00D970F8" w:rsidTr="00CD4DEE">
        <w:trPr>
          <w:trHeight w:val="100"/>
        </w:trPr>
        <w:tc>
          <w:tcPr>
            <w:tcW w:w="4672" w:type="dxa"/>
            <w:vMerge/>
            <w:vAlign w:val="center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0F8">
              <w:rPr>
                <w:rFonts w:ascii="Times New Roman" w:eastAsia="Calibri" w:hAnsi="Times New Roman" w:cs="Times New Roman"/>
                <w:sz w:val="24"/>
                <w:szCs w:val="24"/>
              </w:rPr>
              <w:t>Слияния, поглощения и корпоративная реструктуризация</w:t>
            </w:r>
          </w:p>
        </w:tc>
      </w:tr>
      <w:tr w:rsidR="00D970F8" w:rsidRPr="00D970F8" w:rsidTr="00CD4DEE">
        <w:trPr>
          <w:trHeight w:val="300"/>
        </w:trPr>
        <w:tc>
          <w:tcPr>
            <w:tcW w:w="4672" w:type="dxa"/>
            <w:vMerge w:val="restart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Организационное поведение и управление персоналом</w:t>
            </w:r>
          </w:p>
        </w:tc>
        <w:tc>
          <w:tcPr>
            <w:tcW w:w="4673" w:type="dxa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0F8">
              <w:rPr>
                <w:rFonts w:ascii="Times New Roman" w:eastAsia="Calibri" w:hAnsi="Times New Roman" w:cs="Times New Roman"/>
                <w:sz w:val="24"/>
                <w:szCs w:val="24"/>
              </w:rPr>
              <w:t>Конфликт и переговоры</w:t>
            </w:r>
          </w:p>
        </w:tc>
      </w:tr>
      <w:tr w:rsidR="00D970F8" w:rsidRPr="00D970F8" w:rsidTr="00CD4DEE">
        <w:trPr>
          <w:trHeight w:val="300"/>
        </w:trPr>
        <w:tc>
          <w:tcPr>
            <w:tcW w:w="4672" w:type="dxa"/>
            <w:vMerge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0F8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Производственные отношения и трудовое законодательство</w:t>
            </w:r>
          </w:p>
        </w:tc>
      </w:tr>
      <w:tr w:rsidR="00D970F8" w:rsidRPr="00D970F8" w:rsidTr="00CD4DEE">
        <w:tc>
          <w:tcPr>
            <w:tcW w:w="4672" w:type="dxa"/>
            <w:vAlign w:val="center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Информационные системы</w:t>
            </w:r>
          </w:p>
        </w:tc>
        <w:tc>
          <w:tcPr>
            <w:tcW w:w="4673" w:type="dxa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0F8">
              <w:rPr>
                <w:rFonts w:ascii="Times New Roman" w:eastAsia="Calibri" w:hAnsi="Times New Roman" w:cs="Times New Roman"/>
                <w:sz w:val="24"/>
                <w:szCs w:val="24"/>
              </w:rPr>
              <w:t>Бизнес-модели электронной коммерции</w:t>
            </w:r>
          </w:p>
        </w:tc>
      </w:tr>
      <w:tr w:rsidR="00D970F8" w:rsidRPr="00D970F8" w:rsidTr="00CD4DEE">
        <w:tc>
          <w:tcPr>
            <w:tcW w:w="4672" w:type="dxa"/>
            <w:vMerge w:val="restart"/>
            <w:vAlign w:val="center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97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Управление продажами</w:t>
            </w:r>
          </w:p>
        </w:tc>
        <w:tc>
          <w:tcPr>
            <w:tcW w:w="4673" w:type="dxa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0F8">
              <w:rPr>
                <w:rFonts w:ascii="Times New Roman" w:eastAsia="Calibri" w:hAnsi="Times New Roman" w:cs="Times New Roman"/>
                <w:sz w:val="24"/>
                <w:szCs w:val="24"/>
              </w:rPr>
              <w:t>B2B-маркетинг</w:t>
            </w:r>
          </w:p>
        </w:tc>
      </w:tr>
      <w:tr w:rsidR="00D970F8" w:rsidRPr="00D970F8" w:rsidTr="00CD4DEE">
        <w:tc>
          <w:tcPr>
            <w:tcW w:w="4672" w:type="dxa"/>
            <w:vMerge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0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брендом </w:t>
            </w:r>
          </w:p>
        </w:tc>
      </w:tr>
      <w:tr w:rsidR="00D970F8" w:rsidRPr="00D970F8" w:rsidTr="00CD4DEE">
        <w:tc>
          <w:tcPr>
            <w:tcW w:w="4672" w:type="dxa"/>
            <w:vMerge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0F8">
              <w:rPr>
                <w:rFonts w:ascii="Times New Roman" w:eastAsia="Calibri" w:hAnsi="Times New Roman" w:cs="Times New Roman"/>
                <w:sz w:val="24"/>
                <w:szCs w:val="24"/>
              </w:rPr>
              <w:t>Интегрированные маркетинговые коммуникации</w:t>
            </w:r>
          </w:p>
        </w:tc>
      </w:tr>
      <w:tr w:rsidR="00D970F8" w:rsidRPr="00D970F8" w:rsidTr="00CD4DEE">
        <w:trPr>
          <w:trHeight w:val="100"/>
        </w:trPr>
        <w:tc>
          <w:tcPr>
            <w:tcW w:w="4672" w:type="dxa"/>
            <w:vMerge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0F8">
              <w:rPr>
                <w:rFonts w:ascii="Times New Roman" w:eastAsia="Calibri" w:hAnsi="Times New Roman" w:cs="Times New Roman"/>
                <w:sz w:val="24"/>
                <w:szCs w:val="24"/>
              </w:rPr>
              <w:t>Маркетинговые показатели и аналитика</w:t>
            </w:r>
          </w:p>
        </w:tc>
      </w:tr>
      <w:tr w:rsidR="00D970F8" w:rsidRPr="00D970F8" w:rsidTr="00CD4DEE">
        <w:trPr>
          <w:trHeight w:val="100"/>
        </w:trPr>
        <w:tc>
          <w:tcPr>
            <w:tcW w:w="4672" w:type="dxa"/>
            <w:vMerge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0F8">
              <w:rPr>
                <w:rFonts w:ascii="Times New Roman" w:eastAsia="Calibri" w:hAnsi="Times New Roman" w:cs="Times New Roman"/>
                <w:sz w:val="24"/>
                <w:szCs w:val="24"/>
              </w:rPr>
              <w:t>Маркетинг в сельской хозяйстве</w:t>
            </w:r>
          </w:p>
        </w:tc>
      </w:tr>
      <w:tr w:rsidR="00D970F8" w:rsidRPr="00D970F8" w:rsidTr="00CD4DEE">
        <w:trPr>
          <w:trHeight w:val="100"/>
        </w:trPr>
        <w:tc>
          <w:tcPr>
            <w:tcW w:w="4672" w:type="dxa"/>
            <w:vMerge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0F8">
              <w:rPr>
                <w:rFonts w:ascii="Times New Roman" w:eastAsia="Calibri" w:hAnsi="Times New Roman" w:cs="Times New Roman"/>
                <w:sz w:val="24"/>
                <w:szCs w:val="24"/>
              </w:rPr>
              <w:t>Маркетинг услуг</w:t>
            </w:r>
          </w:p>
        </w:tc>
      </w:tr>
      <w:tr w:rsidR="00D970F8" w:rsidRPr="00D970F8" w:rsidTr="00CD4DEE">
        <w:trPr>
          <w:trHeight w:val="75"/>
        </w:trPr>
        <w:tc>
          <w:tcPr>
            <w:tcW w:w="4672" w:type="dxa"/>
            <w:vMerge w:val="restart"/>
            <w:vAlign w:val="center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970F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Операции</w:t>
            </w:r>
            <w:proofErr w:type="spellEnd"/>
            <w:r w:rsidRPr="00D970F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D970F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количественные</w:t>
            </w:r>
            <w:proofErr w:type="spellEnd"/>
            <w:r w:rsidRPr="00D970F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70F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методы</w:t>
            </w:r>
            <w:proofErr w:type="spellEnd"/>
          </w:p>
        </w:tc>
        <w:tc>
          <w:tcPr>
            <w:tcW w:w="4673" w:type="dxa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0F8">
              <w:rPr>
                <w:rFonts w:ascii="Times New Roman" w:eastAsia="Calibri" w:hAnsi="Times New Roman" w:cs="Times New Roman"/>
                <w:sz w:val="24"/>
                <w:szCs w:val="24"/>
              </w:rPr>
              <w:t>Приме</w:t>
            </w:r>
            <w:bookmarkStart w:id="0" w:name="_GoBack"/>
            <w:bookmarkEnd w:id="0"/>
            <w:r w:rsidRPr="00D970F8">
              <w:rPr>
                <w:rFonts w:ascii="Times New Roman" w:eastAsia="Calibri" w:hAnsi="Times New Roman" w:cs="Times New Roman"/>
                <w:sz w:val="24"/>
                <w:szCs w:val="24"/>
              </w:rPr>
              <w:t>нение теории игр в управлении операциями</w:t>
            </w:r>
          </w:p>
        </w:tc>
      </w:tr>
      <w:tr w:rsidR="00D970F8" w:rsidRPr="00D970F8" w:rsidTr="00CD4DEE">
        <w:trPr>
          <w:trHeight w:val="75"/>
        </w:trPr>
        <w:tc>
          <w:tcPr>
            <w:tcW w:w="4672" w:type="dxa"/>
            <w:vMerge/>
            <w:vAlign w:val="center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0F8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 операций</w:t>
            </w:r>
          </w:p>
        </w:tc>
      </w:tr>
      <w:tr w:rsidR="00D970F8" w:rsidRPr="00D970F8" w:rsidTr="00CD4DEE">
        <w:trPr>
          <w:trHeight w:val="75"/>
        </w:trPr>
        <w:tc>
          <w:tcPr>
            <w:tcW w:w="4672" w:type="dxa"/>
            <w:vMerge/>
            <w:vAlign w:val="center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0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Сервисные операции </w:t>
            </w:r>
          </w:p>
        </w:tc>
      </w:tr>
      <w:tr w:rsidR="00D970F8" w:rsidRPr="00D970F8" w:rsidTr="00CD4DEE">
        <w:trPr>
          <w:trHeight w:val="150"/>
        </w:trPr>
        <w:tc>
          <w:tcPr>
            <w:tcW w:w="4672" w:type="dxa"/>
            <w:vMerge/>
            <w:vAlign w:val="center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0F8">
              <w:rPr>
                <w:rFonts w:ascii="Times New Roman" w:eastAsia="Calibri" w:hAnsi="Times New Roman" w:cs="Times New Roman"/>
                <w:sz w:val="24"/>
                <w:szCs w:val="24"/>
              </w:rPr>
              <w:t>Стратегический поиск поставщиков</w:t>
            </w:r>
          </w:p>
        </w:tc>
      </w:tr>
      <w:tr w:rsidR="00D970F8" w:rsidRPr="00D970F8" w:rsidTr="00CD4DEE">
        <w:tc>
          <w:tcPr>
            <w:tcW w:w="4672" w:type="dxa"/>
            <w:vMerge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0F8">
              <w:rPr>
                <w:rFonts w:ascii="Times New Roman" w:eastAsia="Calibri" w:hAnsi="Times New Roman" w:cs="Times New Roman"/>
                <w:sz w:val="24"/>
                <w:szCs w:val="24"/>
              </w:rPr>
              <w:t>Аналитика цепей поставок</w:t>
            </w:r>
          </w:p>
        </w:tc>
      </w:tr>
      <w:tr w:rsidR="00D970F8" w:rsidRPr="00D970F8" w:rsidTr="00CD4DEE">
        <w:trPr>
          <w:trHeight w:val="100"/>
        </w:trPr>
        <w:tc>
          <w:tcPr>
            <w:tcW w:w="4672" w:type="dxa"/>
            <w:vMerge w:val="restart"/>
            <w:vAlign w:val="center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97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Стратегическое управление</w:t>
            </w:r>
          </w:p>
        </w:tc>
        <w:tc>
          <w:tcPr>
            <w:tcW w:w="4673" w:type="dxa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0F8">
              <w:rPr>
                <w:rFonts w:ascii="Times New Roman" w:eastAsia="Calibri" w:hAnsi="Times New Roman" w:cs="Times New Roman"/>
                <w:sz w:val="24"/>
                <w:szCs w:val="24"/>
              </w:rPr>
              <w:t>Корпоративная стратегия</w:t>
            </w:r>
          </w:p>
        </w:tc>
      </w:tr>
      <w:tr w:rsidR="00D970F8" w:rsidRPr="00D970F8" w:rsidTr="00CD4DEE">
        <w:trPr>
          <w:trHeight w:val="100"/>
        </w:trPr>
        <w:tc>
          <w:tcPr>
            <w:tcW w:w="4672" w:type="dxa"/>
            <w:vMerge/>
            <w:vAlign w:val="center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0F8">
              <w:rPr>
                <w:rFonts w:ascii="Times New Roman" w:eastAsia="Calibri" w:hAnsi="Times New Roman" w:cs="Times New Roman"/>
                <w:sz w:val="24"/>
                <w:szCs w:val="24"/>
              </w:rPr>
              <w:t>Стратегические аспекты слияний и поглощений</w:t>
            </w:r>
          </w:p>
        </w:tc>
      </w:tr>
      <w:tr w:rsidR="00D970F8" w:rsidRPr="00D970F8" w:rsidTr="00CD4DEE">
        <w:tc>
          <w:tcPr>
            <w:tcW w:w="4672" w:type="dxa"/>
            <w:vMerge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0F8">
              <w:rPr>
                <w:rFonts w:ascii="Times New Roman" w:eastAsia="Calibri" w:hAnsi="Times New Roman" w:cs="Times New Roman"/>
                <w:sz w:val="24"/>
                <w:szCs w:val="24"/>
              </w:rPr>
              <w:t>Стратегия и инновации</w:t>
            </w:r>
          </w:p>
        </w:tc>
      </w:tr>
      <w:tr w:rsidR="00D970F8" w:rsidRPr="00D970F8" w:rsidTr="00CD4DEE">
        <w:tc>
          <w:tcPr>
            <w:tcW w:w="4672" w:type="dxa"/>
            <w:vMerge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D970F8" w:rsidRPr="00D970F8" w:rsidRDefault="00D970F8" w:rsidP="00D970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970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Платформа </w:t>
            </w:r>
            <w:r w:rsidRPr="00D970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D970F8">
              <w:rPr>
                <w:rFonts w:ascii="Times New Roman" w:eastAsia="Calibri" w:hAnsi="Times New Roman" w:cs="Times New Roman"/>
                <w:sz w:val="24"/>
                <w:szCs w:val="24"/>
              </w:rPr>
              <w:t>Capstone</w:t>
            </w:r>
            <w:proofErr w:type="spellEnd"/>
            <w:r w:rsidRPr="00D970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0F8">
              <w:rPr>
                <w:rFonts w:ascii="Times New Roman" w:eastAsia="Calibri" w:hAnsi="Times New Roman" w:cs="Times New Roman"/>
                <w:sz w:val="24"/>
                <w:szCs w:val="24"/>
              </w:rPr>
              <w:t>Business</w:t>
            </w:r>
            <w:proofErr w:type="spellEnd"/>
            <w:r w:rsidRPr="00D970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0F8">
              <w:rPr>
                <w:rFonts w:ascii="Times New Roman" w:eastAsia="Calibri" w:hAnsi="Times New Roman" w:cs="Times New Roman"/>
                <w:sz w:val="24"/>
                <w:szCs w:val="24"/>
              </w:rPr>
              <w:t>Simulation</w:t>
            </w:r>
            <w:proofErr w:type="spellEnd"/>
            <w:r w:rsidRPr="00D970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</w:tc>
      </w:tr>
    </w:tbl>
    <w:p w:rsidR="008F38C1" w:rsidRDefault="008F38C1"/>
    <w:sectPr w:rsidR="008F3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592"/>
    <w:rsid w:val="008F38C1"/>
    <w:rsid w:val="00990592"/>
    <w:rsid w:val="00D9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22A39A-9638-4DA8-8E3C-AC58F1A79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97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97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Баланова Алёна Владимировна</dc:creator>
  <cp:keywords/>
  <dc:description/>
  <cp:lastModifiedBy>Баланова Алёна Владимировна</cp:lastModifiedBy>
  <cp:revision>2</cp:revision>
  <dcterms:created xsi:type="dcterms:W3CDTF">2025-06-17T07:44:00Z</dcterms:created>
  <dcterms:modified xsi:type="dcterms:W3CDTF">2025-06-17T07:44:00Z</dcterms:modified>
</cp:coreProperties>
</file>